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F4" w:rsidRPr="000E7ABB" w:rsidRDefault="007F44F4" w:rsidP="007F44F4">
      <w:pPr>
        <w:tabs>
          <w:tab w:val="left" w:pos="909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SHUBHKAMNA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BUILDTECH</w:t>
      </w:r>
      <w:r w:rsidRPr="000E7ABB">
        <w:rPr>
          <w:rFonts w:ascii="Times New Roman" w:hAnsi="Times New Roman" w:cs="Times New Roman"/>
          <w:b/>
          <w:sz w:val="40"/>
          <w:szCs w:val="40"/>
          <w:u w:val="single"/>
        </w:rPr>
        <w:t xml:space="preserve">  PRIVATE</w:t>
      </w:r>
      <w:proofErr w:type="gramEnd"/>
      <w:r w:rsidRPr="000E7ABB">
        <w:rPr>
          <w:rFonts w:ascii="Times New Roman" w:hAnsi="Times New Roman" w:cs="Times New Roman"/>
          <w:b/>
          <w:sz w:val="40"/>
          <w:szCs w:val="40"/>
          <w:u w:val="single"/>
        </w:rPr>
        <w:t xml:space="preserve">  LIMITED</w:t>
      </w:r>
    </w:p>
    <w:p w:rsidR="007F44F4" w:rsidRDefault="007F44F4" w:rsidP="007F44F4">
      <w:pPr>
        <w:jc w:val="center"/>
        <w:rPr>
          <w:rFonts w:ascii="Times New Roman" w:hAnsi="Times New Roman" w:cs="Times New Roman"/>
          <w:b/>
          <w:u w:val="single"/>
        </w:rPr>
      </w:pPr>
    </w:p>
    <w:p w:rsidR="007F44F4" w:rsidRDefault="007F44F4" w:rsidP="007F44F4">
      <w:pPr>
        <w:jc w:val="both"/>
        <w:rPr>
          <w:rFonts w:asciiTheme="majorHAnsi" w:hAnsiTheme="majorHAnsi"/>
          <w:b/>
          <w:color w:val="4F81BD" w:themeColor="accent1"/>
          <w:sz w:val="28"/>
          <w:szCs w:val="28"/>
          <w:u w:val="single"/>
        </w:rPr>
      </w:pPr>
      <w:r w:rsidRPr="00AE2414">
        <w:rPr>
          <w:rFonts w:asciiTheme="majorHAnsi" w:hAnsiTheme="majorHAnsi"/>
          <w:b/>
          <w:color w:val="4F81BD" w:themeColor="accent1"/>
          <w:sz w:val="28"/>
          <w:szCs w:val="28"/>
          <w:u w:val="single"/>
        </w:rPr>
        <w:t>Company Background</w:t>
      </w:r>
    </w:p>
    <w:p w:rsidR="007F44F4" w:rsidRDefault="007F44F4" w:rsidP="007F44F4">
      <w:pPr>
        <w:jc w:val="both"/>
        <w:rPr>
          <w:rFonts w:asciiTheme="majorHAnsi" w:hAnsiTheme="majorHAnsi"/>
          <w:lang w:val="en-IN"/>
        </w:rPr>
      </w:pPr>
      <w:r w:rsidRPr="001F1BE5">
        <w:rPr>
          <w:rFonts w:asciiTheme="majorHAnsi" w:hAnsiTheme="majorHAnsi"/>
          <w:lang w:val="en-IN"/>
        </w:rPr>
        <w:t xml:space="preserve">The Company </w:t>
      </w:r>
      <w:r>
        <w:rPr>
          <w:rFonts w:asciiTheme="majorHAnsi" w:hAnsiTheme="majorHAnsi"/>
          <w:lang w:val="en-IN"/>
        </w:rPr>
        <w:t>“</w:t>
      </w:r>
      <w:proofErr w:type="spellStart"/>
      <w:r w:rsidRPr="001F1BE5">
        <w:rPr>
          <w:rFonts w:asciiTheme="majorHAnsi" w:hAnsiTheme="majorHAnsi"/>
          <w:lang w:val="en-IN"/>
        </w:rPr>
        <w:t>Shubhkamna</w:t>
      </w:r>
      <w:proofErr w:type="spellEnd"/>
      <w:r w:rsidRPr="001F1BE5">
        <w:rPr>
          <w:rFonts w:asciiTheme="majorHAnsi" w:hAnsiTheme="majorHAnsi"/>
          <w:lang w:val="en-IN"/>
        </w:rPr>
        <w:t xml:space="preserve"> </w:t>
      </w:r>
      <w:proofErr w:type="spellStart"/>
      <w:r w:rsidRPr="001F1BE5">
        <w:rPr>
          <w:rFonts w:asciiTheme="majorHAnsi" w:hAnsiTheme="majorHAnsi"/>
          <w:lang w:val="en-IN"/>
        </w:rPr>
        <w:t>Buildtech</w:t>
      </w:r>
      <w:proofErr w:type="spellEnd"/>
      <w:r w:rsidRPr="001F1BE5">
        <w:rPr>
          <w:rFonts w:asciiTheme="majorHAnsi" w:hAnsiTheme="majorHAnsi"/>
          <w:lang w:val="en-IN"/>
        </w:rPr>
        <w:t xml:space="preserve"> Private Limited” is </w:t>
      </w:r>
      <w:r>
        <w:rPr>
          <w:rFonts w:asciiTheme="majorHAnsi" w:hAnsiTheme="majorHAnsi"/>
          <w:lang w:val="en-IN"/>
        </w:rPr>
        <w:t>incorporated as on 18-12-2006 and is registered with ROC- Delhi.</w:t>
      </w:r>
    </w:p>
    <w:p w:rsidR="007F44F4" w:rsidRDefault="007F44F4" w:rsidP="007F4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IN"/>
        </w:rPr>
        <w:t xml:space="preserve">The object of the company is </w:t>
      </w:r>
      <w:r>
        <w:rPr>
          <w:rFonts w:asciiTheme="majorHAnsi" w:hAnsiTheme="majorHAnsi"/>
        </w:rPr>
        <w:t>t</w:t>
      </w:r>
      <w:r w:rsidRPr="00612C1B">
        <w:rPr>
          <w:rFonts w:asciiTheme="majorHAnsi" w:hAnsiTheme="majorHAnsi"/>
        </w:rPr>
        <w:t>o purchase land/buildings as owners/lease holders or otherwise by itself or through</w:t>
      </w:r>
      <w:r>
        <w:rPr>
          <w:rFonts w:asciiTheme="majorHAnsi" w:hAnsiTheme="majorHAnsi"/>
        </w:rPr>
        <w:t xml:space="preserve"> </w:t>
      </w:r>
      <w:r w:rsidRPr="00612C1B">
        <w:rPr>
          <w:rFonts w:asciiTheme="majorHAnsi" w:hAnsiTheme="majorHAnsi"/>
        </w:rPr>
        <w:t>promoters to construct cinema houses, commercial, residential, properties, theatres,</w:t>
      </w:r>
      <w:r>
        <w:rPr>
          <w:rFonts w:asciiTheme="majorHAnsi" w:hAnsiTheme="majorHAnsi"/>
        </w:rPr>
        <w:t xml:space="preserve"> </w:t>
      </w:r>
      <w:r w:rsidRPr="00612C1B">
        <w:rPr>
          <w:rFonts w:asciiTheme="majorHAnsi" w:hAnsiTheme="majorHAnsi"/>
        </w:rPr>
        <w:t>places and halls, lodging houses, guest houses, restaurant, shopping malls, corporate</w:t>
      </w:r>
      <w:r>
        <w:rPr>
          <w:rFonts w:asciiTheme="majorHAnsi" w:hAnsiTheme="majorHAnsi"/>
        </w:rPr>
        <w:t xml:space="preserve"> </w:t>
      </w:r>
      <w:r w:rsidRPr="00612C1B">
        <w:rPr>
          <w:rFonts w:asciiTheme="majorHAnsi" w:hAnsiTheme="majorHAnsi"/>
        </w:rPr>
        <w:t>parks, parking places of all kinds and to purchase by itself or through promoters,</w:t>
      </w:r>
      <w:r>
        <w:rPr>
          <w:rFonts w:asciiTheme="majorHAnsi" w:hAnsiTheme="majorHAnsi"/>
        </w:rPr>
        <w:t xml:space="preserve"> </w:t>
      </w:r>
      <w:r w:rsidRPr="00612C1B">
        <w:rPr>
          <w:rFonts w:asciiTheme="majorHAnsi" w:hAnsiTheme="majorHAnsi"/>
        </w:rPr>
        <w:t>develop, improve land and to erect and build thereon flats, houses, shops and other</w:t>
      </w:r>
      <w:r>
        <w:rPr>
          <w:rFonts w:asciiTheme="majorHAnsi" w:hAnsiTheme="majorHAnsi"/>
        </w:rPr>
        <w:t xml:space="preserve"> </w:t>
      </w:r>
      <w:r w:rsidRPr="00612C1B">
        <w:rPr>
          <w:rFonts w:asciiTheme="majorHAnsi" w:hAnsiTheme="majorHAnsi"/>
        </w:rPr>
        <w:t>building and to hold, underlet, sell or otherwise deal with the same and deal in real</w:t>
      </w:r>
      <w:r>
        <w:rPr>
          <w:rFonts w:asciiTheme="majorHAnsi" w:hAnsiTheme="majorHAnsi"/>
        </w:rPr>
        <w:t xml:space="preserve"> </w:t>
      </w:r>
      <w:r w:rsidRPr="00612C1B">
        <w:rPr>
          <w:rFonts w:asciiTheme="majorHAnsi" w:hAnsiTheme="majorHAnsi"/>
        </w:rPr>
        <w:t>estates of all kinds.</w:t>
      </w:r>
    </w:p>
    <w:p w:rsidR="007F44F4" w:rsidRPr="00612C1B" w:rsidRDefault="007F44F4" w:rsidP="007F4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Company is presently working on its two </w:t>
      </w:r>
      <w:proofErr w:type="gramStart"/>
      <w:r>
        <w:rPr>
          <w:rFonts w:asciiTheme="majorHAnsi" w:hAnsiTheme="majorHAnsi"/>
        </w:rPr>
        <w:t>project</w:t>
      </w:r>
      <w:proofErr w:type="gramEnd"/>
      <w:r>
        <w:rPr>
          <w:rFonts w:asciiTheme="majorHAnsi" w:hAnsiTheme="majorHAnsi"/>
        </w:rPr>
        <w:t xml:space="preserve"> namely: “</w:t>
      </w:r>
      <w:proofErr w:type="spellStart"/>
      <w:r w:rsidRPr="00612C1B">
        <w:rPr>
          <w:rFonts w:asciiTheme="majorHAnsi" w:hAnsiTheme="majorHAnsi"/>
          <w:b/>
        </w:rPr>
        <w:t>Shubhkamna</w:t>
      </w:r>
      <w:proofErr w:type="spellEnd"/>
      <w:r w:rsidRPr="00612C1B">
        <w:rPr>
          <w:rFonts w:asciiTheme="majorHAnsi" w:hAnsiTheme="majorHAnsi"/>
          <w:b/>
        </w:rPr>
        <w:t xml:space="preserve"> City and </w:t>
      </w:r>
      <w:proofErr w:type="spellStart"/>
      <w:r w:rsidRPr="00612C1B">
        <w:rPr>
          <w:rFonts w:asciiTheme="majorHAnsi" w:hAnsiTheme="majorHAnsi"/>
          <w:b/>
        </w:rPr>
        <w:t>Shubhkamna</w:t>
      </w:r>
      <w:proofErr w:type="spellEnd"/>
      <w:r w:rsidRPr="00612C1B">
        <w:rPr>
          <w:rFonts w:asciiTheme="majorHAnsi" w:hAnsiTheme="majorHAnsi"/>
          <w:b/>
        </w:rPr>
        <w:t xml:space="preserve"> </w:t>
      </w:r>
      <w:proofErr w:type="spellStart"/>
      <w:r w:rsidRPr="00612C1B">
        <w:rPr>
          <w:rFonts w:asciiTheme="majorHAnsi" w:hAnsiTheme="majorHAnsi"/>
          <w:b/>
        </w:rPr>
        <w:t>techHOMES</w:t>
      </w:r>
      <w:proofErr w:type="spellEnd"/>
      <w:r w:rsidRPr="00612C1B">
        <w:rPr>
          <w:rFonts w:asciiTheme="majorHAnsi" w:hAnsiTheme="majorHAnsi"/>
          <w:b/>
        </w:rPr>
        <w:t>.”</w:t>
      </w:r>
    </w:p>
    <w:p w:rsidR="007F44F4" w:rsidRPr="00AE2414" w:rsidRDefault="007F44F4" w:rsidP="007F44F4">
      <w:pPr>
        <w:jc w:val="both"/>
        <w:rPr>
          <w:rFonts w:asciiTheme="majorHAnsi" w:hAnsiTheme="majorHAnsi"/>
        </w:rPr>
      </w:pPr>
      <w:r w:rsidRPr="003221C8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Board of Directors of the Company</w:t>
      </w:r>
    </w:p>
    <w:tbl>
      <w:tblPr>
        <w:tblW w:w="3452" w:type="pct"/>
        <w:tblCellSpacing w:w="15" w:type="dxa"/>
        <w:tblInd w:w="1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1484"/>
        <w:gridCol w:w="1499"/>
      </w:tblGrid>
      <w:tr w:rsidR="007F44F4" w:rsidTr="00EC7145">
        <w:trPr>
          <w:trHeight w:val="430"/>
          <w:tblCellSpacing w:w="15" w:type="dxa"/>
        </w:trPr>
        <w:tc>
          <w:tcPr>
            <w:tcW w:w="0" w:type="auto"/>
            <w:shd w:val="clear" w:color="auto" w:fill="84848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F4" w:rsidRPr="00566511" w:rsidRDefault="007F44F4" w:rsidP="00EC7145">
            <w:r w:rsidRPr="00566511">
              <w:t>N/PAN</w:t>
            </w:r>
          </w:p>
        </w:tc>
        <w:tc>
          <w:tcPr>
            <w:tcW w:w="0" w:type="auto"/>
            <w:shd w:val="clear" w:color="auto" w:fill="84848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F4" w:rsidRPr="00566511" w:rsidRDefault="007F44F4" w:rsidP="00EC7145">
            <w:r w:rsidRPr="00566511">
              <w:t>Name</w:t>
            </w:r>
          </w:p>
        </w:tc>
        <w:tc>
          <w:tcPr>
            <w:tcW w:w="0" w:type="auto"/>
            <w:shd w:val="clear" w:color="auto" w:fill="84848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F4" w:rsidRPr="00566511" w:rsidRDefault="007F44F4" w:rsidP="00EC7145">
            <w:r w:rsidRPr="00566511">
              <w:t>Begin date</w:t>
            </w:r>
          </w:p>
        </w:tc>
        <w:tc>
          <w:tcPr>
            <w:tcW w:w="0" w:type="auto"/>
            <w:shd w:val="clear" w:color="auto" w:fill="84848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4F4" w:rsidRPr="00566511" w:rsidRDefault="007F44F4" w:rsidP="00EC7145">
            <w:r w:rsidRPr="00566511">
              <w:t>End date</w:t>
            </w:r>
          </w:p>
        </w:tc>
      </w:tr>
      <w:tr w:rsidR="007F44F4" w:rsidTr="00EC7145">
        <w:trPr>
          <w:trHeight w:val="477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bookmarkStart w:id="0" w:name="aShowDirectorMasterdata" w:colFirst="0" w:colLast="0"/>
            <w:r w:rsidRPr="00566511">
              <w:t>00390590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PIYUSH TIWARI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22/04/2011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-</w:t>
            </w:r>
          </w:p>
        </w:tc>
      </w:tr>
      <w:tr w:rsidR="007F44F4" w:rsidTr="00EC7145">
        <w:trPr>
          <w:trHeight w:val="513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00743717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DIWAKAR SHARMA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08/12/2006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20/01/2016</w:t>
            </w:r>
          </w:p>
        </w:tc>
      </w:tr>
      <w:tr w:rsidR="007F44F4" w:rsidTr="00EC7145">
        <w:trPr>
          <w:trHeight w:val="487"/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06641040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DEEP TEWARI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21/01/2016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E4E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4F4" w:rsidRPr="00566511" w:rsidRDefault="007F44F4" w:rsidP="00EC7145">
            <w:r w:rsidRPr="00566511">
              <w:t>17/07/2018</w:t>
            </w:r>
          </w:p>
        </w:tc>
      </w:tr>
      <w:bookmarkEnd w:id="0"/>
    </w:tbl>
    <w:p w:rsidR="007F44F4" w:rsidRDefault="007F44F4" w:rsidP="007F44F4">
      <w:pPr>
        <w:tabs>
          <w:tab w:val="left" w:pos="1890"/>
        </w:tabs>
        <w:jc w:val="both"/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</w:pPr>
    </w:p>
    <w:p w:rsidR="007F44F4" w:rsidRDefault="007F44F4" w:rsidP="007F44F4">
      <w:pPr>
        <w:jc w:val="both"/>
        <w:rPr>
          <w:rFonts w:asciiTheme="majorHAnsi" w:hAnsiTheme="majorHAnsi"/>
          <w:b/>
          <w:color w:val="4F81BD" w:themeColor="accent1"/>
          <w:lang w:val="en-IN"/>
        </w:rPr>
      </w:pPr>
      <w:r>
        <w:rPr>
          <w:rFonts w:asciiTheme="majorHAnsi" w:hAnsiTheme="majorHAnsi"/>
          <w:b/>
          <w:color w:val="4F81BD" w:themeColor="accent1"/>
          <w:lang w:val="en-IN"/>
        </w:rPr>
        <w:t>Note:</w:t>
      </w:r>
    </w:p>
    <w:p w:rsidR="007F44F4" w:rsidRPr="000F0292" w:rsidRDefault="007F44F4" w:rsidP="007F44F4">
      <w:pPr>
        <w:jc w:val="both"/>
        <w:rPr>
          <w:rFonts w:asciiTheme="majorHAnsi" w:hAnsiTheme="majorHAnsi"/>
          <w:lang w:val="en-IN"/>
        </w:rPr>
      </w:pPr>
      <w:r>
        <w:rPr>
          <w:rFonts w:asciiTheme="majorHAnsi" w:hAnsiTheme="majorHAnsi"/>
          <w:lang w:val="en-IN"/>
        </w:rPr>
        <w:t xml:space="preserve">As per the information available over MCA, </w:t>
      </w:r>
      <w:proofErr w:type="spellStart"/>
      <w:r>
        <w:rPr>
          <w:rFonts w:asciiTheme="majorHAnsi" w:hAnsiTheme="majorHAnsi"/>
          <w:lang w:val="en-IN"/>
        </w:rPr>
        <w:t>Mr.</w:t>
      </w:r>
      <w:proofErr w:type="spellEnd"/>
      <w:r>
        <w:rPr>
          <w:rFonts w:asciiTheme="majorHAnsi" w:hAnsiTheme="majorHAnsi"/>
          <w:lang w:val="en-IN"/>
        </w:rPr>
        <w:t xml:space="preserve"> </w:t>
      </w:r>
      <w:proofErr w:type="spellStart"/>
      <w:r>
        <w:rPr>
          <w:rFonts w:asciiTheme="majorHAnsi" w:hAnsiTheme="majorHAnsi"/>
          <w:lang w:val="en-IN"/>
        </w:rPr>
        <w:t>Piyush</w:t>
      </w:r>
      <w:proofErr w:type="spellEnd"/>
      <w:r>
        <w:rPr>
          <w:rFonts w:asciiTheme="majorHAnsi" w:hAnsiTheme="majorHAnsi"/>
          <w:lang w:val="en-IN"/>
        </w:rPr>
        <w:t xml:space="preserve"> </w:t>
      </w:r>
      <w:proofErr w:type="spellStart"/>
      <w:r>
        <w:rPr>
          <w:rFonts w:asciiTheme="majorHAnsi" w:hAnsiTheme="majorHAnsi"/>
          <w:lang w:val="en-IN"/>
        </w:rPr>
        <w:t>Tiwari</w:t>
      </w:r>
      <w:proofErr w:type="spellEnd"/>
      <w:r>
        <w:rPr>
          <w:rFonts w:asciiTheme="majorHAnsi" w:hAnsiTheme="majorHAnsi"/>
          <w:lang w:val="en-IN"/>
        </w:rPr>
        <w:t xml:space="preserve"> have been disqualified under section 164 (2</w:t>
      </w:r>
      <w:proofErr w:type="gramStart"/>
      <w:r>
        <w:rPr>
          <w:rFonts w:asciiTheme="majorHAnsi" w:hAnsiTheme="majorHAnsi"/>
          <w:lang w:val="en-IN"/>
        </w:rPr>
        <w:t>)(</w:t>
      </w:r>
      <w:proofErr w:type="gramEnd"/>
      <w:r>
        <w:rPr>
          <w:rFonts w:asciiTheme="majorHAnsi" w:hAnsiTheme="majorHAnsi"/>
          <w:lang w:val="en-IN"/>
        </w:rPr>
        <w:t>a) of the Companies Act, 2013 for the period from 01.11.2016 to 31.10.2021 by MCA from being appointed as Director.</w:t>
      </w:r>
    </w:p>
    <w:p w:rsidR="007F44F4" w:rsidRPr="00952D80" w:rsidRDefault="007F44F4" w:rsidP="007F44F4">
      <w:pPr>
        <w:tabs>
          <w:tab w:val="left" w:pos="1890"/>
        </w:tabs>
        <w:jc w:val="both"/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</w:pPr>
      <w:r w:rsidRPr="00952D80">
        <w:rPr>
          <w:rFonts w:asciiTheme="majorHAnsi" w:hAnsiTheme="majorHAnsi"/>
          <w:b/>
          <w:color w:val="4F81BD" w:themeColor="accent1"/>
          <w:sz w:val="24"/>
          <w:szCs w:val="24"/>
          <w:u w:val="single"/>
        </w:rPr>
        <w:t>Infrastructure</w:t>
      </w:r>
    </w:p>
    <w:p w:rsidR="007F44F4" w:rsidRDefault="007F44F4" w:rsidP="007F44F4">
      <w:pPr>
        <w:jc w:val="both"/>
        <w:rPr>
          <w:rFonts w:asciiTheme="majorHAnsi" w:hAnsiTheme="majorHAnsi"/>
        </w:rPr>
      </w:pPr>
      <w:r w:rsidRPr="00AE2414">
        <w:rPr>
          <w:rFonts w:asciiTheme="majorHAnsi" w:hAnsiTheme="majorHAnsi"/>
        </w:rPr>
        <w:t xml:space="preserve">The land admeasuring </w:t>
      </w:r>
      <w:r>
        <w:rPr>
          <w:rFonts w:asciiTheme="majorHAnsi" w:hAnsiTheme="majorHAnsi"/>
        </w:rPr>
        <w:t>22565.77</w:t>
      </w:r>
      <w:r w:rsidRPr="00AE2414">
        <w:rPr>
          <w:rFonts w:asciiTheme="majorHAnsi" w:hAnsiTheme="majorHAnsi"/>
        </w:rPr>
        <w:t xml:space="preserve"> </w:t>
      </w:r>
      <w:proofErr w:type="spellStart"/>
      <w:r w:rsidRPr="00AE2414">
        <w:rPr>
          <w:rFonts w:asciiTheme="majorHAnsi" w:hAnsiTheme="majorHAnsi"/>
        </w:rPr>
        <w:t>sq</w:t>
      </w:r>
      <w:proofErr w:type="spellEnd"/>
      <w:r w:rsidRPr="00AE2414">
        <w:rPr>
          <w:rFonts w:asciiTheme="majorHAnsi" w:hAnsiTheme="majorHAnsi"/>
        </w:rPr>
        <w:t xml:space="preserve"> </w:t>
      </w:r>
      <w:proofErr w:type="spellStart"/>
      <w:r w:rsidRPr="00AE2414">
        <w:rPr>
          <w:rFonts w:asciiTheme="majorHAnsi" w:hAnsiTheme="majorHAnsi"/>
        </w:rPr>
        <w:t>mtrs</w:t>
      </w:r>
      <w:proofErr w:type="spellEnd"/>
      <w:r w:rsidRPr="00AE241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GH-05/B, Sector 137, </w:t>
      </w:r>
      <w:proofErr w:type="gramStart"/>
      <w:r>
        <w:rPr>
          <w:rFonts w:asciiTheme="majorHAnsi" w:hAnsiTheme="majorHAnsi"/>
        </w:rPr>
        <w:t>Noida</w:t>
      </w:r>
      <w:proofErr w:type="gramEnd"/>
      <w:r>
        <w:rPr>
          <w:rFonts w:asciiTheme="majorHAnsi" w:hAnsiTheme="majorHAnsi"/>
        </w:rPr>
        <w:t xml:space="preserve"> </w:t>
      </w:r>
      <w:r w:rsidRPr="00AE2414">
        <w:rPr>
          <w:rFonts w:asciiTheme="majorHAnsi" w:hAnsiTheme="majorHAnsi"/>
        </w:rPr>
        <w:t xml:space="preserve">is leased to </w:t>
      </w:r>
      <w:proofErr w:type="spellStart"/>
      <w:r>
        <w:rPr>
          <w:rFonts w:asciiTheme="majorHAnsi" w:hAnsiTheme="majorHAnsi"/>
        </w:rPr>
        <w:t>Shubhkamna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Buildtech</w:t>
      </w:r>
      <w:proofErr w:type="spellEnd"/>
      <w:r w:rsidRPr="00AE2414">
        <w:rPr>
          <w:rFonts w:asciiTheme="majorHAnsi" w:hAnsiTheme="majorHAnsi"/>
        </w:rPr>
        <w:t xml:space="preserve"> Pvt</w:t>
      </w:r>
      <w:r>
        <w:rPr>
          <w:rFonts w:asciiTheme="majorHAnsi" w:hAnsiTheme="majorHAnsi"/>
        </w:rPr>
        <w:t>.</w:t>
      </w:r>
      <w:r w:rsidRPr="00AE2414">
        <w:rPr>
          <w:rFonts w:asciiTheme="majorHAnsi" w:hAnsiTheme="majorHAnsi"/>
        </w:rPr>
        <w:t xml:space="preserve"> Ltd</w:t>
      </w:r>
      <w:r>
        <w:rPr>
          <w:rFonts w:asciiTheme="majorHAnsi" w:hAnsiTheme="majorHAnsi"/>
        </w:rPr>
        <w:t>.</w:t>
      </w:r>
      <w:r w:rsidRPr="00AE2414">
        <w:rPr>
          <w:rFonts w:asciiTheme="majorHAnsi" w:hAnsiTheme="majorHAnsi"/>
        </w:rPr>
        <w:t xml:space="preserve"> by Noida Development Authority</w:t>
      </w:r>
      <w:r>
        <w:rPr>
          <w:rFonts w:asciiTheme="majorHAnsi" w:hAnsiTheme="majorHAnsi"/>
        </w:rPr>
        <w:t xml:space="preserve"> vide lease deed dated 30-07-2010</w:t>
      </w:r>
      <w:r w:rsidRPr="00AE2414">
        <w:rPr>
          <w:rFonts w:asciiTheme="majorHAnsi" w:hAnsiTheme="majorHAnsi"/>
        </w:rPr>
        <w:t xml:space="preserve"> for period of 90 years. The date of execution of lease deed was made on</w:t>
      </w:r>
      <w:r>
        <w:rPr>
          <w:rFonts w:asciiTheme="majorHAnsi" w:hAnsiTheme="majorHAnsi"/>
        </w:rPr>
        <w:t xml:space="preserve"> 30-07-2010. </w:t>
      </w:r>
    </w:p>
    <w:p w:rsidR="007F44F4" w:rsidRDefault="007F44F4" w:rsidP="007F4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In another lease deed executed on 04-04-2011, land admeasuring 33 538 square meters at GH-02A, Sector-1, Greater Noida was allotted to </w:t>
      </w:r>
      <w:proofErr w:type="spellStart"/>
      <w:r>
        <w:rPr>
          <w:rFonts w:asciiTheme="majorHAnsi" w:hAnsiTheme="majorHAnsi"/>
        </w:rPr>
        <w:t>Shubhkamna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Buildtech</w:t>
      </w:r>
      <w:proofErr w:type="spellEnd"/>
      <w:r>
        <w:rPr>
          <w:rFonts w:asciiTheme="majorHAnsi" w:hAnsiTheme="majorHAnsi"/>
        </w:rPr>
        <w:t xml:space="preserve"> Private Limited for the period of 90 years.</w:t>
      </w:r>
    </w:p>
    <w:p w:rsidR="007F44F4" w:rsidRDefault="007F44F4" w:rsidP="007F4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brief of two projects under </w:t>
      </w:r>
      <w:proofErr w:type="spellStart"/>
      <w:r>
        <w:rPr>
          <w:rFonts w:asciiTheme="majorHAnsi" w:hAnsiTheme="majorHAnsi"/>
        </w:rPr>
        <w:t>Shubhkamna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Buildtech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Pvt</w:t>
      </w:r>
      <w:proofErr w:type="spellEnd"/>
      <w:r>
        <w:rPr>
          <w:rFonts w:asciiTheme="majorHAnsi" w:hAnsiTheme="majorHAnsi"/>
        </w:rPr>
        <w:t xml:space="preserve"> Ltd:</w:t>
      </w:r>
    </w:p>
    <w:p w:rsidR="007F44F4" w:rsidRPr="0037603F" w:rsidRDefault="007F44F4" w:rsidP="007F44F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Shubhkam</w:t>
      </w:r>
      <w:r w:rsidRPr="0037603F">
        <w:rPr>
          <w:rFonts w:asciiTheme="majorHAnsi" w:hAnsiTheme="majorHAnsi"/>
          <w:b/>
        </w:rPr>
        <w:t>na</w:t>
      </w:r>
      <w:proofErr w:type="spellEnd"/>
      <w:r w:rsidRPr="0037603F">
        <w:rPr>
          <w:rFonts w:asciiTheme="majorHAnsi" w:hAnsiTheme="majorHAnsi"/>
          <w:b/>
        </w:rPr>
        <w:t xml:space="preserve"> </w:t>
      </w:r>
      <w:proofErr w:type="spellStart"/>
      <w:r w:rsidRPr="0037603F">
        <w:rPr>
          <w:rFonts w:asciiTheme="majorHAnsi" w:hAnsiTheme="majorHAnsi"/>
          <w:b/>
        </w:rPr>
        <w:t>techHOMES</w:t>
      </w:r>
      <w:proofErr w:type="spellEnd"/>
      <w:r>
        <w:rPr>
          <w:rFonts w:asciiTheme="majorHAnsi" w:hAnsiTheme="majorHAnsi"/>
          <w:b/>
        </w:rPr>
        <w:t>:</w:t>
      </w:r>
    </w:p>
    <w:p w:rsidR="007F44F4" w:rsidRDefault="007F44F4" w:rsidP="007F4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project of corporate debtor is located at GH-05/B, Sector-137</w:t>
      </w:r>
      <w:r w:rsidRPr="00952D8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Noida District, </w:t>
      </w:r>
      <w:proofErr w:type="spellStart"/>
      <w:proofErr w:type="gramStart"/>
      <w:r>
        <w:rPr>
          <w:rFonts w:asciiTheme="majorHAnsi" w:hAnsiTheme="majorHAnsi"/>
        </w:rPr>
        <w:t>Gautam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Budh</w:t>
      </w:r>
      <w:proofErr w:type="spellEnd"/>
      <w:r>
        <w:rPr>
          <w:rFonts w:asciiTheme="majorHAnsi" w:hAnsiTheme="majorHAnsi"/>
        </w:rPr>
        <w:t xml:space="preserve"> Nagar in an area admeasuring 22500 square meters. It</w:t>
      </w:r>
      <w:r w:rsidRPr="00952D80">
        <w:rPr>
          <w:rFonts w:asciiTheme="majorHAnsi" w:hAnsiTheme="majorHAnsi"/>
        </w:rPr>
        <w:t xml:space="preserve"> is currently a Mid Stage project</w:t>
      </w:r>
      <w:r>
        <w:rPr>
          <w:rFonts w:asciiTheme="majorHAnsi" w:hAnsiTheme="majorHAnsi"/>
        </w:rPr>
        <w:t xml:space="preserve"> and is offering</w:t>
      </w:r>
      <w:r w:rsidRPr="00952D80">
        <w:rPr>
          <w:rFonts w:asciiTheme="majorHAnsi" w:hAnsiTheme="majorHAnsi"/>
        </w:rPr>
        <w:t xml:space="preserve"> towers of 2, 3, 4 BHK Apartme</w:t>
      </w:r>
      <w:r>
        <w:rPr>
          <w:rFonts w:asciiTheme="majorHAnsi" w:hAnsiTheme="majorHAnsi"/>
        </w:rPr>
        <w:t>nt.</w:t>
      </w:r>
    </w:p>
    <w:p w:rsidR="007F44F4" w:rsidRDefault="007F44F4" w:rsidP="007F44F4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</w:rPr>
      </w:pPr>
      <w:proofErr w:type="spellStart"/>
      <w:r w:rsidRPr="006A6F3C">
        <w:rPr>
          <w:rFonts w:asciiTheme="majorHAnsi" w:hAnsiTheme="majorHAnsi"/>
          <w:b/>
        </w:rPr>
        <w:t>Shubhkamna</w:t>
      </w:r>
      <w:proofErr w:type="spellEnd"/>
      <w:r w:rsidRPr="006A6F3C">
        <w:rPr>
          <w:rFonts w:asciiTheme="majorHAnsi" w:hAnsiTheme="majorHAnsi"/>
          <w:b/>
        </w:rPr>
        <w:t xml:space="preserve"> City</w:t>
      </w:r>
    </w:p>
    <w:p w:rsidR="007F44F4" w:rsidRPr="00172911" w:rsidRDefault="007F44F4" w:rsidP="007F44F4">
      <w:pPr>
        <w:rPr>
          <w:rFonts w:asciiTheme="majorHAnsi" w:hAnsiTheme="majorHAnsi"/>
        </w:rPr>
      </w:pPr>
      <w:proofErr w:type="spellStart"/>
      <w:r w:rsidRPr="00172911">
        <w:rPr>
          <w:rFonts w:asciiTheme="majorHAnsi" w:hAnsiTheme="majorHAnsi"/>
        </w:rPr>
        <w:t>Shubhkamna</w:t>
      </w:r>
      <w:proofErr w:type="spellEnd"/>
      <w:r w:rsidRPr="00172911">
        <w:rPr>
          <w:rFonts w:asciiTheme="majorHAnsi" w:hAnsiTheme="majorHAnsi"/>
        </w:rPr>
        <w:t xml:space="preserve"> City is located at </w:t>
      </w:r>
      <w:r>
        <w:rPr>
          <w:rFonts w:asciiTheme="majorHAnsi" w:hAnsiTheme="majorHAnsi"/>
        </w:rPr>
        <w:t xml:space="preserve">GH-02A, Sector-1, Greater </w:t>
      </w:r>
      <w:proofErr w:type="gramStart"/>
      <w:r>
        <w:rPr>
          <w:rFonts w:asciiTheme="majorHAnsi" w:hAnsiTheme="majorHAnsi"/>
        </w:rPr>
        <w:t>Noida</w:t>
      </w:r>
      <w:r w:rsidRPr="00172911">
        <w:rPr>
          <w:rFonts w:asciiTheme="majorHAnsi" w:hAnsiTheme="majorHAnsi"/>
        </w:rPr>
        <w:t xml:space="preserve">  in</w:t>
      </w:r>
      <w:proofErr w:type="gramEnd"/>
      <w:r w:rsidRPr="00172911">
        <w:rPr>
          <w:rFonts w:asciiTheme="majorHAnsi" w:hAnsiTheme="majorHAnsi"/>
        </w:rPr>
        <w:t xml:space="preserve"> area around 33,538 square meter and is at low stage of development offering </w:t>
      </w:r>
      <w:r>
        <w:rPr>
          <w:rFonts w:asciiTheme="majorHAnsi" w:hAnsiTheme="majorHAnsi"/>
        </w:rPr>
        <w:t>9 Towers</w:t>
      </w:r>
      <w:r w:rsidRPr="0017291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2,3, and 4 BHK of Apartment.</w:t>
      </w:r>
    </w:p>
    <w:p w:rsidR="007F44F4" w:rsidRDefault="007F44F4" w:rsidP="007F44F4">
      <w:pPr>
        <w:pStyle w:val="ListParagraph"/>
        <w:ind w:left="180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</w:p>
    <w:p w:rsidR="007F44F4" w:rsidRDefault="007F44F4" w:rsidP="007F44F4">
      <w:pPr>
        <w:pStyle w:val="ListParagraph"/>
        <w:ind w:left="0"/>
        <w:rPr>
          <w:rFonts w:asciiTheme="majorHAnsi" w:hAnsiTheme="majorHAnsi"/>
          <w:lang w:val="en-US"/>
        </w:rPr>
      </w:pPr>
      <w:bookmarkStart w:id="1" w:name="_GoBack"/>
      <w:bookmarkEnd w:id="1"/>
    </w:p>
    <w:p w:rsidR="007F44F4" w:rsidRDefault="007F44F4" w:rsidP="007F44F4">
      <w:pPr>
        <w:pStyle w:val="ListParagraph"/>
        <w:ind w:left="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Relevant / </w:t>
      </w:r>
      <w:r w:rsidRPr="007A137E">
        <w:rPr>
          <w:rFonts w:asciiTheme="majorHAnsi" w:hAnsiTheme="majorHAnsi"/>
          <w:b/>
          <w:lang w:val="en-US"/>
        </w:rPr>
        <w:t xml:space="preserve">Important </w:t>
      </w:r>
      <w:r w:rsidRPr="00B553C9">
        <w:rPr>
          <w:rFonts w:asciiTheme="majorHAnsi" w:hAnsiTheme="majorHAnsi"/>
          <w:b/>
          <w:lang w:val="en-US"/>
        </w:rPr>
        <w:t>Information:</w:t>
      </w:r>
    </w:p>
    <w:p w:rsidR="007F44F4" w:rsidRDefault="007F44F4" w:rsidP="007F44F4">
      <w:pPr>
        <w:pStyle w:val="ListParagraph"/>
        <w:ind w:left="0"/>
        <w:rPr>
          <w:rFonts w:asciiTheme="majorHAnsi" w:hAnsiTheme="majorHAnsi"/>
          <w:b/>
          <w:lang w:val="en-US"/>
        </w:rPr>
      </w:pPr>
    </w:p>
    <w:p w:rsidR="007F44F4" w:rsidRDefault="007F44F4" w:rsidP="007F44F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books of account and the accounting information maintained in the accounting Software </w:t>
      </w:r>
      <w:proofErr w:type="gramStart"/>
      <w:r>
        <w:rPr>
          <w:rFonts w:asciiTheme="majorHAnsi" w:hAnsiTheme="majorHAnsi"/>
        </w:rPr>
        <w:t>have</w:t>
      </w:r>
      <w:proofErr w:type="gramEnd"/>
      <w:r>
        <w:rPr>
          <w:rFonts w:asciiTheme="majorHAnsi" w:hAnsiTheme="majorHAnsi"/>
        </w:rPr>
        <w:t xml:space="preserve"> not been made available by the Corporate Debtor.  An Application under section 19(2) under IBC, 2016 is in process of filing with regard to Non-Cooperation of the Corporate Debtor. </w:t>
      </w:r>
    </w:p>
    <w:p w:rsidR="007F44F4" w:rsidRDefault="007F44F4" w:rsidP="007F44F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last annual filing of financial statements with respect to corporate debtor is available for the financial year 2011-2012. </w:t>
      </w:r>
    </w:p>
    <w:p w:rsidR="00824CB0" w:rsidRPr="007F44F4" w:rsidRDefault="00824CB0" w:rsidP="007F44F4"/>
    <w:sectPr w:rsidR="00824CB0" w:rsidRPr="007F44F4" w:rsidSect="00EB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80" w:rsidRDefault="00952D80" w:rsidP="00BA354E">
      <w:pPr>
        <w:spacing w:after="0" w:line="240" w:lineRule="auto"/>
      </w:pPr>
      <w:r>
        <w:separator/>
      </w:r>
    </w:p>
  </w:endnote>
  <w:endnote w:type="continuationSeparator" w:id="0">
    <w:p w:rsidR="00952D80" w:rsidRDefault="00952D80" w:rsidP="00BA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80" w:rsidRDefault="00952D80" w:rsidP="00BA354E">
      <w:pPr>
        <w:spacing w:after="0" w:line="240" w:lineRule="auto"/>
      </w:pPr>
      <w:r>
        <w:separator/>
      </w:r>
    </w:p>
  </w:footnote>
  <w:footnote w:type="continuationSeparator" w:id="0">
    <w:p w:rsidR="00952D80" w:rsidRDefault="00952D80" w:rsidP="00BA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4D9"/>
    <w:multiLevelType w:val="multilevel"/>
    <w:tmpl w:val="6480D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u w:val="none"/>
      </w:rPr>
    </w:lvl>
  </w:abstractNum>
  <w:abstractNum w:abstractNumId="1">
    <w:nsid w:val="406A637E"/>
    <w:multiLevelType w:val="multilevel"/>
    <w:tmpl w:val="279E3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408A310A"/>
    <w:multiLevelType w:val="hybridMultilevel"/>
    <w:tmpl w:val="4C8A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4ABA"/>
    <w:multiLevelType w:val="hybridMultilevel"/>
    <w:tmpl w:val="02A862F8"/>
    <w:lvl w:ilvl="0" w:tplc="002A91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16B13"/>
    <w:multiLevelType w:val="hybridMultilevel"/>
    <w:tmpl w:val="2B8AAE4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9D"/>
    <w:rsid w:val="000A169D"/>
    <w:rsid w:val="000C3BFF"/>
    <w:rsid w:val="000E7ABB"/>
    <w:rsid w:val="002950F9"/>
    <w:rsid w:val="003B5B0F"/>
    <w:rsid w:val="005E7559"/>
    <w:rsid w:val="006D4CEF"/>
    <w:rsid w:val="00750B03"/>
    <w:rsid w:val="00754567"/>
    <w:rsid w:val="007C6CFC"/>
    <w:rsid w:val="007F44F4"/>
    <w:rsid w:val="00824CB0"/>
    <w:rsid w:val="00874597"/>
    <w:rsid w:val="00952D80"/>
    <w:rsid w:val="00954353"/>
    <w:rsid w:val="009711E6"/>
    <w:rsid w:val="00AE2414"/>
    <w:rsid w:val="00B56D11"/>
    <w:rsid w:val="00BA354E"/>
    <w:rsid w:val="00DC2C9E"/>
    <w:rsid w:val="00E713FD"/>
    <w:rsid w:val="00EB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4E"/>
  </w:style>
  <w:style w:type="paragraph" w:styleId="Footer">
    <w:name w:val="footer"/>
    <w:basedOn w:val="Normal"/>
    <w:link w:val="FooterChar"/>
    <w:uiPriority w:val="99"/>
    <w:unhideWhenUsed/>
    <w:rsid w:val="00BA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4E"/>
  </w:style>
  <w:style w:type="paragraph" w:styleId="ListParagraph">
    <w:name w:val="List Paragraph"/>
    <w:basedOn w:val="Normal"/>
    <w:uiPriority w:val="34"/>
    <w:qFormat/>
    <w:rsid w:val="002950F9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824CB0"/>
    <w:rPr>
      <w:color w:val="0000FF"/>
      <w:u w:val="single"/>
    </w:rPr>
  </w:style>
  <w:style w:type="table" w:styleId="TableGrid">
    <w:name w:val="Table Grid"/>
    <w:basedOn w:val="TableNormal"/>
    <w:uiPriority w:val="59"/>
    <w:rsid w:val="007F44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4E"/>
  </w:style>
  <w:style w:type="paragraph" w:styleId="Footer">
    <w:name w:val="footer"/>
    <w:basedOn w:val="Normal"/>
    <w:link w:val="FooterChar"/>
    <w:uiPriority w:val="99"/>
    <w:unhideWhenUsed/>
    <w:rsid w:val="00BA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4E"/>
  </w:style>
  <w:style w:type="paragraph" w:styleId="ListParagraph">
    <w:name w:val="List Paragraph"/>
    <w:basedOn w:val="Normal"/>
    <w:uiPriority w:val="34"/>
    <w:qFormat/>
    <w:rsid w:val="002950F9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824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sai ram</dc:creator>
  <cp:keywords/>
  <dc:description/>
  <cp:lastModifiedBy>Windows User</cp:lastModifiedBy>
  <cp:revision>11</cp:revision>
  <dcterms:created xsi:type="dcterms:W3CDTF">2018-11-28T07:36:00Z</dcterms:created>
  <dcterms:modified xsi:type="dcterms:W3CDTF">2019-03-29T08:02:00Z</dcterms:modified>
</cp:coreProperties>
</file>