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5" w:type="dxa"/>
        <w:tblLook w:val="04A0" w:firstRow="1" w:lastRow="0" w:firstColumn="1" w:lastColumn="0" w:noHBand="0" w:noVBand="1"/>
      </w:tblPr>
      <w:tblGrid>
        <w:gridCol w:w="1003"/>
        <w:gridCol w:w="4787"/>
        <w:gridCol w:w="4753"/>
        <w:gridCol w:w="4065"/>
      </w:tblGrid>
      <w:tr w:rsidR="00C45CDD" w:rsidRPr="00EC5910" w:rsidTr="00730E8C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CDD" w:rsidRPr="00EC5910" w:rsidRDefault="00C45CDD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B95" w:rsidRDefault="00E35F76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SHUBHKAMNA BUILDTECH</w:t>
            </w:r>
            <w:r w:rsidR="000F3B9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 xml:space="preserve"> PRIVATE LIMITED</w:t>
            </w:r>
          </w:p>
          <w:p w:rsidR="00C45CDD" w:rsidRPr="00EC5910" w:rsidRDefault="00C45CDD" w:rsidP="00C4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45C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IN"/>
              </w:rPr>
              <w:t>FORMAT FOR SUBMISSION OF EXPRESSION OF INTEREST</w:t>
            </w:r>
          </w:p>
        </w:tc>
      </w:tr>
      <w:tr w:rsidR="00EC5910" w:rsidRPr="00EC5910" w:rsidTr="00730E8C">
        <w:trPr>
          <w:trHeight w:val="315"/>
        </w:trPr>
        <w:tc>
          <w:tcPr>
            <w:tcW w:w="1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8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Sr. No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BB6E0F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Particulars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of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Information Required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F432AB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Answers by </w:t>
            </w:r>
            <w:r w:rsidR="00EC5910"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Resolution Applicants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C5910" w:rsidRPr="00EC5910" w:rsidRDefault="00EC5910" w:rsidP="00BB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Documents attached 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in support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(Self-attested/digitised copie</w:t>
            </w:r>
            <w:r w:rsidR="00F4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</w:t>
            </w:r>
            <w:r w:rsidR="00DA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over email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</w:tr>
      <w:tr w:rsidR="00EC5910" w:rsidRPr="00EC5910" w:rsidTr="00BB6E0F">
        <w:trPr>
          <w:trHeight w:val="9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</w:t>
            </w:r>
            <w:r w:rsidR="00F91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Resolution Applicant (In case of joint Applicants, similar information is required for all such persons)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C5910" w:rsidRPr="00EC5910" w:rsidTr="00BB6E0F">
        <w:trPr>
          <w:trHeight w:val="12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10" w:rsidRPr="00617686" w:rsidRDefault="00EC5910" w:rsidP="006176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Type of Person (Individual/Company/Partnership firm/ LLP</w:t>
            </w:r>
            <w:r w:rsidR="00BB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etc.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:rsidR="004C6204" w:rsidRPr="00EC5910" w:rsidRDefault="004C6204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Documents of constitution, registrations, PAN, Aadhaar may be attached as applicable.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EC5910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10" w:rsidRPr="00BB6E0F" w:rsidRDefault="00EC5910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 w:rsidR="00BB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 w:rsidR="00BB6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Annexure-A</w:t>
            </w:r>
          </w:p>
        </w:tc>
      </w:tr>
      <w:tr w:rsidR="00BB6E0F" w:rsidRPr="00EC5910" w:rsidTr="00BB6E0F">
        <w:trPr>
          <w:trHeight w:val="5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F" w:rsidRPr="00EC5910" w:rsidRDefault="00BB6E0F" w:rsidP="00A5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3A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 case </w:t>
            </w:r>
            <w:r w:rsidR="00C8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ncorporated body)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Annexure-B</w:t>
            </w:r>
          </w:p>
        </w:tc>
      </w:tr>
      <w:tr w:rsidR="00BB6E0F" w:rsidRPr="00EC5910" w:rsidTr="00BB6E0F">
        <w:trPr>
          <w:trHeight w:val="41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Corporate Identification or registration number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Authority with which the resolution applicant is registered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Registered address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Correspondence Address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 other  addresses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Name, Designation, Email Id, Mobile No. and other contact details of the designated person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B6E0F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3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 of Board of Directors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/promoters/key managerial personnel*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 Resolution Applicant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along with full name, age, designation, PAN,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Aadhaar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each director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B6E0F" w:rsidRPr="00EC5910" w:rsidTr="00BB6E0F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E0F" w:rsidRPr="004E34B4" w:rsidRDefault="00BB6E0F" w:rsidP="004E3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 of shareholding pattern with complete details of shareholders holding more than 5% shares in the company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0F" w:rsidRPr="00EC5910" w:rsidRDefault="00BB6E0F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Identity detail of resolution applicant (</w:t>
            </w:r>
            <w:r w:rsidR="00C8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In  case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Individual)</w:t>
            </w:r>
          </w:p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of Resolution Applicant,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Father</w:t>
            </w:r>
            <w:r w:rsidR="00C8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’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 name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Age, PAN, Aadhaar, Nationality, Email Id and Mobile and Telephone No. 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EC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Annexure-C</w:t>
            </w:r>
          </w:p>
        </w:tc>
      </w:tr>
      <w:tr w:rsidR="00D87EE9" w:rsidRPr="00EC5910" w:rsidTr="00BB6E0F">
        <w:trPr>
          <w:trHeight w:val="27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Address (Business and residence)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8703F" w:rsidRPr="00EC5910" w:rsidTr="00BB6E0F">
        <w:trPr>
          <w:trHeight w:val="27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03F" w:rsidRPr="00EC5910" w:rsidRDefault="00C8703F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Default="00C8703F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Details of family  members (for the purpose of ascertaining connected persons)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Pr="00EC5910" w:rsidRDefault="00C8703F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Pr="00EC5910" w:rsidRDefault="00C8703F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87EE9" w:rsidRPr="00EC5910" w:rsidTr="00BB6E0F">
        <w:trPr>
          <w:trHeight w:val="7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E9" w:rsidRPr="00EC5910" w:rsidRDefault="00D87EE9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Financial Information </w:t>
            </w:r>
          </w:p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(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Audited  financial statement of the resolution applicants for two financial years before the initiation of CIRP of the Corporate Debtor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be submitted)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F3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Annexure-D</w:t>
            </w:r>
          </w:p>
        </w:tc>
      </w:tr>
      <w:tr w:rsidR="00D87EE9" w:rsidRPr="00EC5910" w:rsidTr="00BB6E0F">
        <w:trPr>
          <w:trHeight w:val="44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 Worth of the group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0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Revenue of the applicant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87EE9" w:rsidRPr="00EC5910" w:rsidTr="00BB6E0F">
        <w:trPr>
          <w:trHeight w:val="4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E9" w:rsidRPr="00617686" w:rsidRDefault="00D87EE9" w:rsidP="006176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EBIDTA of resolution applicant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E9" w:rsidRPr="00EC5910" w:rsidRDefault="00D87EE9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52166" w:rsidRPr="00EC5910" w:rsidTr="00BB6E0F">
        <w:trPr>
          <w:trHeight w:val="55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6" w:rsidRPr="00EC5910" w:rsidRDefault="00952166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Industry/ Segment in which resolution applicant is engaged</w:t>
            </w:r>
          </w:p>
          <w:p w:rsidR="00952166" w:rsidRPr="004A29D6" w:rsidRDefault="00952166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No. of years of experience, geographical expanse of operations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6" w:rsidRPr="00EC5910" w:rsidRDefault="00952166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Annexure-E</w:t>
            </w:r>
          </w:p>
        </w:tc>
      </w:tr>
      <w:tr w:rsidR="00A77F64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F64" w:rsidRPr="00EC5910" w:rsidRDefault="00A77F64" w:rsidP="0061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68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Details of experience of resolution applicant in business segment of corporate debtor 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of year of experience, Geographical expanse of operations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64" w:rsidRPr="00EC5910" w:rsidRDefault="00A77F64" w:rsidP="0086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Kindly Attach relevant documents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Annexure-F</w:t>
            </w:r>
          </w:p>
        </w:tc>
      </w:tr>
      <w:tr w:rsidR="00C8703F" w:rsidRPr="00EC5910" w:rsidTr="00BB6E0F">
        <w:trPr>
          <w:trHeight w:val="8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03F" w:rsidRPr="00EC5910" w:rsidRDefault="00C8703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Information required for verification of eligibility 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prescribed  under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section 29A of Insolvency &amp; Bankruptcy Code, 2016 and Regulation 38(3) of the</w:t>
            </w:r>
            <w:r w:rsidR="00FE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IBBI (Insolvency Resolution Process  for Corporate Persons), Regulations, 2016</w:t>
            </w:r>
            <w:r w:rsidR="0061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  <w:p w:rsidR="00614772" w:rsidRPr="00EC5910" w:rsidRDefault="00614772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8703F" w:rsidRPr="00EC5910" w:rsidTr="00BA6D65">
        <w:trPr>
          <w:trHeight w:val="1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C8703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Whetherthe resolution applicant or any of its </w:t>
            </w:r>
            <w:r w:rsidRPr="00635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connected persons</w:t>
            </w:r>
            <w:r w:rsidRPr="00A0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declared as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undischarged insolvent under any law in India or 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jurisdiction outside India.</w:t>
            </w:r>
          </w:p>
          <w:p w:rsidR="00C8703F" w:rsidRPr="002C4D8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A6D6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C8703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</w:t>
            </w:r>
            <w:r w:rsidRPr="0063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are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declared 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‘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wilful defaulter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(s)’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by RBI under Banking Regulation Act, 1949</w:t>
            </w:r>
          </w:p>
          <w:p w:rsidR="0029265F" w:rsidRPr="00EC5910" w:rsidRDefault="0029265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A6D65">
        <w:trPr>
          <w:trHeight w:val="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C8703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any bank account(s) of the resolution applicant or any of its connected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classified as "non-performing asset" (NPA) und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er Banking Regulation Act, 1949, </w:t>
            </w:r>
            <w:r w:rsidR="00614772"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 least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one year before the commencement of the CIRP of the Corporate Debtor</w:t>
            </w:r>
          </w:p>
          <w:p w:rsidR="0029265F" w:rsidRPr="00EC5910" w:rsidRDefault="0029265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B6E0F">
        <w:trPr>
          <w:trHeight w:val="9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614772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 been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convicted for any offence punishable with imprisonment of two years or more, under laws of India and/or any law in jurisdiction outside India</w:t>
            </w:r>
          </w:p>
          <w:p w:rsidR="0029265F" w:rsidRPr="00EC5910" w:rsidRDefault="0029265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B6E0F">
        <w:trPr>
          <w:trHeight w:val="9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614772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v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(if an individual) or any of its connected persons is disqualified to act as a director under the Companies Act, 2013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B6E0F">
        <w:trPr>
          <w:trHeight w:val="10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614772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Whether the resolution applicant or any of its connected persons, prohibited by SEBI from trading in securities or accessing the securities market</w:t>
            </w:r>
          </w:p>
          <w:p w:rsidR="0029265F" w:rsidRPr="00EC5910" w:rsidRDefault="0029265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C8703F" w:rsidRPr="00EC5910" w:rsidTr="00BB6E0F">
        <w:trPr>
          <w:trHeight w:val="8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614772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has executed any enforceable guarantee in favour of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creditor of a corporate person </w:t>
            </w: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against which CIRP is initiated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under IBC, 2016 by such creditor</w:t>
            </w:r>
          </w:p>
          <w:p w:rsidR="0029265F" w:rsidRPr="00EC5910" w:rsidRDefault="0029265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B34190" w:rsidRPr="00EC5910" w:rsidTr="00BB6E0F">
        <w:trPr>
          <w:trHeight w:val="8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190" w:rsidRDefault="00B34190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viii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0" w:rsidRDefault="00B34190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Whether the resolution applicant or any of its connected persons has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been a promoter or in the management or control of a corporate debtor in which transactions under Section 43, 45, 50 and 66 has taken place and in respect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  which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 order has been made by the adjudicating authority under Insolvency &amp; Bankruptcy Code, 2016. </w:t>
            </w:r>
          </w:p>
          <w:p w:rsidR="0029265F" w:rsidRPr="00EC5910" w:rsidRDefault="0029265F" w:rsidP="00C8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0" w:rsidRPr="00EC5910" w:rsidRDefault="00B34190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0" w:rsidRPr="00EC5910" w:rsidRDefault="00B34190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8703F" w:rsidRPr="00EC5910" w:rsidTr="00BB6E0F">
        <w:trPr>
          <w:trHeight w:val="51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9D686F" w:rsidP="009D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Holding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  <w:p w:rsidR="0029265F" w:rsidRPr="00EC5910" w:rsidRDefault="0029265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Annexure-G</w:t>
            </w:r>
          </w:p>
        </w:tc>
      </w:tr>
      <w:tr w:rsidR="00C8703F" w:rsidRPr="00EC5910" w:rsidTr="00BB6E0F">
        <w:trPr>
          <w:trHeight w:val="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9D686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Subsidiary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  <w:p w:rsidR="0029265F" w:rsidRPr="00EC5910" w:rsidRDefault="0029265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Annexure-H</w:t>
            </w:r>
          </w:p>
        </w:tc>
      </w:tr>
      <w:tr w:rsidR="00C8703F" w:rsidRPr="00EC5910" w:rsidTr="00BB6E0F">
        <w:trPr>
          <w:trHeight w:val="3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9D686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 Associate Company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***</w:t>
            </w: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(if any) of Resolution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Applicant [same as Sr. No. 3A]</w:t>
            </w:r>
          </w:p>
          <w:p w:rsidR="0029265F" w:rsidRPr="00EC5910" w:rsidRDefault="0029265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Annexure-I</w:t>
            </w:r>
          </w:p>
        </w:tc>
      </w:tr>
      <w:tr w:rsidR="00C8703F" w:rsidRPr="00EC5910" w:rsidTr="00BB6E0F">
        <w:trPr>
          <w:trHeight w:val="63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03F" w:rsidRPr="00EC5910" w:rsidRDefault="009D686F" w:rsidP="00C8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any other 'related party' of the resolution applicant for which the answer to queries at Sr. No. 7 to 13 is in assertive. #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3F" w:rsidRPr="00EC5910" w:rsidRDefault="00C8703F" w:rsidP="00C8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C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Attach relevant document 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Annexure-J</w:t>
            </w:r>
          </w:p>
        </w:tc>
      </w:tr>
    </w:tbl>
    <w:p w:rsidR="00516BEE" w:rsidRDefault="00516BE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516BEE" w:rsidRPr="006B6C98" w:rsidRDefault="00730E8C" w:rsidP="006B6C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EC5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NOTES: </w:t>
      </w:r>
    </w:p>
    <w:p w:rsidR="00C90B8B" w:rsidRDefault="0062590E" w:rsidP="00C90B8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62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 xml:space="preserve">Eligibility Criteria </w:t>
      </w:r>
    </w:p>
    <w:p w:rsidR="0062590E" w:rsidRPr="00C90B8B" w:rsidRDefault="0062590E" w:rsidP="00C90B8B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The eligibility criteria as decided by Committee of Creditors which is required to be fulfilled by the Resolution Applicant is provided in the  document called </w:t>
      </w:r>
      <w:r w:rsidR="006B6C98"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Financial Eligibility Criterion </w:t>
      </w:r>
      <w:r w:rsidR="00CB0E5F"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and </w:t>
      </w:r>
      <w:r w:rsidR="00C90B8B"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Ineligibility</w:t>
      </w:r>
      <w:r w:rsidR="00CB0E5F"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 Criterion under section 29A of the Insolvency &amp; Bankruptcy Code, 2016</w:t>
      </w:r>
      <w:r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.  The eligibility criteria would be verified by the Resolution Professional based </w:t>
      </w:r>
      <w:r w:rsidR="0029655E"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on the</w:t>
      </w:r>
      <w:r w:rsidRPr="00C90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 documents submitted by Resolution Applicant along with this format. </w:t>
      </w:r>
    </w:p>
    <w:p w:rsidR="0062590E" w:rsidRPr="0062590E" w:rsidRDefault="0062590E" w:rsidP="0062590E">
      <w:pPr>
        <w:pStyle w:val="ListParagraph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516BEE" w:rsidRPr="00516BEE" w:rsidRDefault="00516BEE" w:rsidP="00B3419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516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All the potential Resolution Applicants must read  and understand following documents before submission of expression of interest, the documents are available on the website of Resolution Professional at </w:t>
      </w:r>
      <w:hyperlink r:id="rId6" w:history="1">
        <w:r w:rsidRPr="00516BE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IN"/>
          </w:rPr>
          <w:t>www.insolvencyandbankcruptcy.in</w:t>
        </w:r>
      </w:hyperlink>
    </w:p>
    <w:p w:rsidR="00516BEE" w:rsidRPr="00516BEE" w:rsidRDefault="00516BEE" w:rsidP="00516BEE">
      <w:pPr>
        <w:pStyle w:val="ListParagraph"/>
        <w:numPr>
          <w:ilvl w:val="0"/>
          <w:numId w:val="15"/>
        </w:num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516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Form G</w:t>
      </w:r>
    </w:p>
    <w:p w:rsidR="00516BEE" w:rsidRDefault="006B6C98" w:rsidP="00516BEE">
      <w:pPr>
        <w:pStyle w:val="ListParagraph"/>
        <w:numPr>
          <w:ilvl w:val="0"/>
          <w:numId w:val="15"/>
        </w:num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Eligibility Criterion </w:t>
      </w:r>
    </w:p>
    <w:p w:rsidR="006B6C98" w:rsidRPr="00516BEE" w:rsidRDefault="003F4E95" w:rsidP="00516BEE">
      <w:pPr>
        <w:pStyle w:val="ListParagraph"/>
        <w:numPr>
          <w:ilvl w:val="0"/>
          <w:numId w:val="15"/>
        </w:num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Ineligibility</w:t>
      </w:r>
      <w:r w:rsidR="006B6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 Criterion under section 29A of the Insolvency &amp; Bankruptcy Code, 2016</w:t>
      </w:r>
    </w:p>
    <w:p w:rsidR="00516BEE" w:rsidRPr="00516BEE" w:rsidRDefault="006B6C98" w:rsidP="00516BEE">
      <w:pPr>
        <w:pStyle w:val="ListParagraph"/>
        <w:numPr>
          <w:ilvl w:val="0"/>
          <w:numId w:val="15"/>
        </w:numPr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Brief </w:t>
      </w:r>
      <w:r w:rsidR="00516BEE" w:rsidRPr="00516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of Corporate Debtor </w:t>
      </w:r>
    </w:p>
    <w:p w:rsidR="00516BEE" w:rsidRDefault="00516BEE" w:rsidP="00516BEE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1C67BC" w:rsidRPr="0062590E" w:rsidRDefault="001C67BC" w:rsidP="00B3419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B3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* </w:t>
      </w:r>
      <w:r w:rsidRPr="00B3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For definition of “Key Managerial Personnel” please refer to section 2(51) of Companies Act, 2013</w:t>
      </w:r>
    </w:p>
    <w:p w:rsidR="0062590E" w:rsidRPr="00B34190" w:rsidRDefault="0062590E" w:rsidP="0062590E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:rsidR="002D6770" w:rsidRPr="00B34190" w:rsidRDefault="007D04EF" w:rsidP="007D04E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B3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* </w:t>
      </w:r>
      <w:r w:rsidR="001C67BC" w:rsidRPr="00B3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Pr="00B3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As per explanation to clause (j) of section 29A of Insolvency and Bankruptcy Code, 2016 ‘connected persons’ means— </w:t>
      </w:r>
    </w:p>
    <w:p w:rsidR="002D6770" w:rsidRDefault="007D04EF" w:rsidP="0029265F">
      <w:pPr>
        <w:pStyle w:val="ListParagraph"/>
        <w:numPr>
          <w:ilvl w:val="0"/>
          <w:numId w:val="8"/>
        </w:numPr>
        <w:ind w:left="1800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is the promoter or in the management or control of the resolution applicant; or </w:t>
      </w:r>
    </w:p>
    <w:p w:rsidR="0062590E" w:rsidRDefault="0062590E" w:rsidP="0029265F">
      <w:pPr>
        <w:pStyle w:val="ListParagraph"/>
        <w:ind w:left="1800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2D6770" w:rsidRDefault="007D04EF" w:rsidP="0029265F">
      <w:pPr>
        <w:pStyle w:val="ListParagraph"/>
        <w:numPr>
          <w:ilvl w:val="0"/>
          <w:numId w:val="8"/>
        </w:numPr>
        <w:ind w:left="1800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any person who shall be the promoter or in management or control of the business of the corporate debtor during the implementation of the resolution plan; or </w:t>
      </w:r>
    </w:p>
    <w:p w:rsidR="0062590E" w:rsidRPr="0062590E" w:rsidRDefault="0062590E" w:rsidP="0029265F">
      <w:pPr>
        <w:pStyle w:val="ListParagraph"/>
        <w:ind w:left="180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2D6770" w:rsidRPr="002D6770" w:rsidRDefault="007D04EF" w:rsidP="0029265F">
      <w:pPr>
        <w:pStyle w:val="ListParagraph"/>
        <w:numPr>
          <w:ilvl w:val="0"/>
          <w:numId w:val="8"/>
        </w:numPr>
        <w:ind w:left="1800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2D6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the holding company, subsidiary company, associate company or related party of a person referred to in clauses (i) and (ii):</w:t>
      </w:r>
    </w:p>
    <w:p w:rsidR="002E6E83" w:rsidRDefault="007D04EF" w:rsidP="00B34190">
      <w:pPr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  <w:r w:rsidRPr="007D0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lastRenderedPageBreak/>
        <w:t>Provided that nothing in clause (iii) of this Explanation shall apply to— (A) a scheduled bank; or (B) an asset reconstruction company registered with the Reserve Bank of India under section 3 of the Securitisation and Reconstruction of Financial Assets and Enforcement of Security Interest Act, 2002; or (C) an Alternate Investment Fund registered with the Securiti</w:t>
      </w:r>
      <w:r w:rsidR="002E6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es and Exchange Board of India.</w:t>
      </w:r>
    </w:p>
    <w:p w:rsidR="00ED3D2D" w:rsidRDefault="00730E8C" w:rsidP="00193AFA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9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7D04EF" w:rsidRPr="0019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="001C67BC" w:rsidRPr="0019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*</w:t>
      </w: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definition of Holding Company, Subsidiary company and Associate Company please r</w:t>
      </w:r>
      <w:r w:rsidR="002B0013"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</w:t>
      </w: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fer to section 2(46), (87) and (6) of Companies Act, 2013 respectively.</w:t>
      </w:r>
    </w:p>
    <w:p w:rsidR="00193AFA" w:rsidRPr="00193AFA" w:rsidRDefault="00193AFA" w:rsidP="00193AFA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AB65F6" w:rsidRDefault="00730E8C" w:rsidP="002D6770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# </w:t>
      </w:r>
      <w:r w:rsidR="006C58AE"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For </w:t>
      </w: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Refer to definition of "related party" under section 2(76) of Companies Act, 2013</w:t>
      </w:r>
    </w:p>
    <w:p w:rsidR="00193AFA" w:rsidRPr="00193AFA" w:rsidRDefault="00193AFA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2B0013" w:rsidRDefault="002B0013" w:rsidP="00193AFA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case of joint resolution </w:t>
      </w:r>
      <w:r w:rsidR="00516BEE"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applicant,</w:t>
      </w: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net worth </w:t>
      </w:r>
      <w:r w:rsidR="00C32276"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 the purpose of ascertaining the financial potential of such resolution applicants will be their combined net worth.</w:t>
      </w:r>
    </w:p>
    <w:p w:rsidR="00193AFA" w:rsidRPr="00193AFA" w:rsidRDefault="00193AFA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822C1" w:rsidRDefault="008822C1" w:rsidP="00193AFA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93AF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resolution applicants may attach supplementary sheets as required for furnishing relevant information.</w:t>
      </w:r>
    </w:p>
    <w:p w:rsidR="00193AFA" w:rsidRDefault="00193AFA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9222D" w:rsidRDefault="0009222D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9222D" w:rsidRDefault="0009222D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9222D" w:rsidRDefault="0009222D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9222D" w:rsidRDefault="0009222D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9222D" w:rsidRDefault="0009222D" w:rsidP="00193AF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sectPr w:rsidR="0009222D" w:rsidSect="00EC5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73C"/>
    <w:multiLevelType w:val="hybridMultilevel"/>
    <w:tmpl w:val="4F90DF2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FD7C6C"/>
    <w:multiLevelType w:val="hybridMultilevel"/>
    <w:tmpl w:val="71E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2DE"/>
    <w:multiLevelType w:val="hybridMultilevel"/>
    <w:tmpl w:val="38A43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258"/>
    <w:multiLevelType w:val="hybridMultilevel"/>
    <w:tmpl w:val="F378EF7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4B15"/>
    <w:multiLevelType w:val="hybridMultilevel"/>
    <w:tmpl w:val="3B965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69DD"/>
    <w:multiLevelType w:val="hybridMultilevel"/>
    <w:tmpl w:val="263AF13E"/>
    <w:lvl w:ilvl="0" w:tplc="677C5B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663A7"/>
    <w:multiLevelType w:val="hybridMultilevel"/>
    <w:tmpl w:val="78C0E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971F5"/>
    <w:multiLevelType w:val="hybridMultilevel"/>
    <w:tmpl w:val="9F32BCA4"/>
    <w:lvl w:ilvl="0" w:tplc="9800D51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08CA"/>
    <w:multiLevelType w:val="hybridMultilevel"/>
    <w:tmpl w:val="B9440A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27A0"/>
    <w:multiLevelType w:val="hybridMultilevel"/>
    <w:tmpl w:val="D2F8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448C"/>
    <w:multiLevelType w:val="hybridMultilevel"/>
    <w:tmpl w:val="DEA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6ADB"/>
    <w:multiLevelType w:val="hybridMultilevel"/>
    <w:tmpl w:val="EC4011DE"/>
    <w:lvl w:ilvl="0" w:tplc="16D2D7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20E4"/>
    <w:multiLevelType w:val="hybridMultilevel"/>
    <w:tmpl w:val="FFD67A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31836"/>
    <w:multiLevelType w:val="hybridMultilevel"/>
    <w:tmpl w:val="FAB0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C62A6"/>
    <w:multiLevelType w:val="hybridMultilevel"/>
    <w:tmpl w:val="BFBAE97A"/>
    <w:lvl w:ilvl="0" w:tplc="C8DC55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910"/>
    <w:rsid w:val="000026BB"/>
    <w:rsid w:val="000246CE"/>
    <w:rsid w:val="000560B7"/>
    <w:rsid w:val="00065F20"/>
    <w:rsid w:val="00086841"/>
    <w:rsid w:val="0009222D"/>
    <w:rsid w:val="000B40E0"/>
    <w:rsid w:val="000F2CD3"/>
    <w:rsid w:val="000F3B95"/>
    <w:rsid w:val="00104526"/>
    <w:rsid w:val="001535E6"/>
    <w:rsid w:val="00193AFA"/>
    <w:rsid w:val="001C67BC"/>
    <w:rsid w:val="00234008"/>
    <w:rsid w:val="0029265F"/>
    <w:rsid w:val="0029655E"/>
    <w:rsid w:val="002B0013"/>
    <w:rsid w:val="002C4D8F"/>
    <w:rsid w:val="002D6770"/>
    <w:rsid w:val="002E6E83"/>
    <w:rsid w:val="00310FE0"/>
    <w:rsid w:val="003229D1"/>
    <w:rsid w:val="00331462"/>
    <w:rsid w:val="00346956"/>
    <w:rsid w:val="003801B9"/>
    <w:rsid w:val="0039759D"/>
    <w:rsid w:val="003A028D"/>
    <w:rsid w:val="003F4E95"/>
    <w:rsid w:val="004164F5"/>
    <w:rsid w:val="00420DAB"/>
    <w:rsid w:val="00464369"/>
    <w:rsid w:val="004659A4"/>
    <w:rsid w:val="004A29D6"/>
    <w:rsid w:val="004C6204"/>
    <w:rsid w:val="004E34B4"/>
    <w:rsid w:val="004F1340"/>
    <w:rsid w:val="004F5052"/>
    <w:rsid w:val="00507299"/>
    <w:rsid w:val="00510729"/>
    <w:rsid w:val="005134BC"/>
    <w:rsid w:val="0051552E"/>
    <w:rsid w:val="00516BEE"/>
    <w:rsid w:val="00535362"/>
    <w:rsid w:val="005677F9"/>
    <w:rsid w:val="0057332B"/>
    <w:rsid w:val="00577BFD"/>
    <w:rsid w:val="005C6E9B"/>
    <w:rsid w:val="005D3FD0"/>
    <w:rsid w:val="005D4750"/>
    <w:rsid w:val="00614772"/>
    <w:rsid w:val="00617686"/>
    <w:rsid w:val="0062590E"/>
    <w:rsid w:val="00630741"/>
    <w:rsid w:val="00635034"/>
    <w:rsid w:val="006645D2"/>
    <w:rsid w:val="00685043"/>
    <w:rsid w:val="006B6C98"/>
    <w:rsid w:val="006C58AE"/>
    <w:rsid w:val="00730E8C"/>
    <w:rsid w:val="00797F2D"/>
    <w:rsid w:val="007B143A"/>
    <w:rsid w:val="007B4F53"/>
    <w:rsid w:val="007D04EF"/>
    <w:rsid w:val="007E01B8"/>
    <w:rsid w:val="007F7F0B"/>
    <w:rsid w:val="00845C28"/>
    <w:rsid w:val="008460A3"/>
    <w:rsid w:val="00851F90"/>
    <w:rsid w:val="008524D1"/>
    <w:rsid w:val="00860EEA"/>
    <w:rsid w:val="008822C1"/>
    <w:rsid w:val="0089106C"/>
    <w:rsid w:val="008A5275"/>
    <w:rsid w:val="008D64D8"/>
    <w:rsid w:val="008F3DCB"/>
    <w:rsid w:val="00952166"/>
    <w:rsid w:val="00981376"/>
    <w:rsid w:val="009D686F"/>
    <w:rsid w:val="00A061FB"/>
    <w:rsid w:val="00A149FA"/>
    <w:rsid w:val="00A16FEA"/>
    <w:rsid w:val="00A559A8"/>
    <w:rsid w:val="00A629C9"/>
    <w:rsid w:val="00A77F64"/>
    <w:rsid w:val="00AB1F9B"/>
    <w:rsid w:val="00AB65F6"/>
    <w:rsid w:val="00AC77F3"/>
    <w:rsid w:val="00AD23FD"/>
    <w:rsid w:val="00AF3BAF"/>
    <w:rsid w:val="00B167E8"/>
    <w:rsid w:val="00B34190"/>
    <w:rsid w:val="00B939E1"/>
    <w:rsid w:val="00BA6D65"/>
    <w:rsid w:val="00BB5B44"/>
    <w:rsid w:val="00BB6E0F"/>
    <w:rsid w:val="00BC3C90"/>
    <w:rsid w:val="00C0044D"/>
    <w:rsid w:val="00C32276"/>
    <w:rsid w:val="00C45CDD"/>
    <w:rsid w:val="00C8703F"/>
    <w:rsid w:val="00C90B8B"/>
    <w:rsid w:val="00CB0E5F"/>
    <w:rsid w:val="00D63ACD"/>
    <w:rsid w:val="00D72563"/>
    <w:rsid w:val="00D87EE9"/>
    <w:rsid w:val="00D90065"/>
    <w:rsid w:val="00DA02AF"/>
    <w:rsid w:val="00DC0BC3"/>
    <w:rsid w:val="00DC1D95"/>
    <w:rsid w:val="00E009F6"/>
    <w:rsid w:val="00E03D72"/>
    <w:rsid w:val="00E32398"/>
    <w:rsid w:val="00E35F76"/>
    <w:rsid w:val="00E617EF"/>
    <w:rsid w:val="00EC5910"/>
    <w:rsid w:val="00ED3D2D"/>
    <w:rsid w:val="00EF43FB"/>
    <w:rsid w:val="00F35CB9"/>
    <w:rsid w:val="00F412A7"/>
    <w:rsid w:val="00F432AB"/>
    <w:rsid w:val="00F80C58"/>
    <w:rsid w:val="00F916CA"/>
    <w:rsid w:val="00FE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B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olvencyandbankcruptcy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Anil.Goel</dc:creator>
  <cp:lastModifiedBy>Windows User</cp:lastModifiedBy>
  <cp:revision>6</cp:revision>
  <cp:lastPrinted>2018-12-06T08:12:00Z</cp:lastPrinted>
  <dcterms:created xsi:type="dcterms:W3CDTF">2018-10-26T09:40:00Z</dcterms:created>
  <dcterms:modified xsi:type="dcterms:W3CDTF">2019-04-01T10:24:00Z</dcterms:modified>
</cp:coreProperties>
</file>