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778" w:rsidRDefault="00FF7778">
      <w:pPr>
        <w:pStyle w:val="BodyText"/>
        <w:rPr>
          <w:sz w:val="20"/>
        </w:rPr>
      </w:pPr>
    </w:p>
    <w:p w:rsidR="00FF7778" w:rsidRDefault="00FF7778">
      <w:pPr>
        <w:pStyle w:val="BodyText"/>
        <w:rPr>
          <w:sz w:val="20"/>
        </w:rPr>
      </w:pPr>
    </w:p>
    <w:p w:rsidR="00FF7778" w:rsidRDefault="00FF7778">
      <w:pPr>
        <w:pStyle w:val="BodyText"/>
        <w:spacing w:before="9"/>
        <w:rPr>
          <w:sz w:val="15"/>
        </w:rPr>
      </w:pPr>
    </w:p>
    <w:p w:rsidR="00FF7778" w:rsidRDefault="00D90771">
      <w:pPr>
        <w:spacing w:before="90"/>
        <w:ind w:left="2120" w:right="2481"/>
        <w:jc w:val="center"/>
        <w:rPr>
          <w:b/>
          <w:sz w:val="24"/>
        </w:rPr>
      </w:pPr>
      <w:r>
        <w:rPr>
          <w:b/>
          <w:sz w:val="24"/>
          <w:u w:val="thick"/>
        </w:rPr>
        <w:t>DECLARATION AND UNDERTAKING</w:t>
      </w:r>
    </w:p>
    <w:p w:rsidR="00FF7778" w:rsidRDefault="00FF7778">
      <w:pPr>
        <w:pStyle w:val="BodyText"/>
        <w:spacing w:before="6"/>
        <w:rPr>
          <w:b/>
        </w:rPr>
      </w:pPr>
    </w:p>
    <w:p w:rsidR="00FF7778" w:rsidRDefault="00D90771">
      <w:pPr>
        <w:pStyle w:val="BodyText"/>
        <w:spacing w:before="90"/>
        <w:ind w:right="115"/>
        <w:jc w:val="right"/>
      </w:pPr>
      <w:r>
        <w:t>Date:</w:t>
      </w:r>
    </w:p>
    <w:p w:rsidR="00FF7778" w:rsidRDefault="00FF7778">
      <w:pPr>
        <w:pStyle w:val="BodyText"/>
        <w:rPr>
          <w:sz w:val="20"/>
        </w:rPr>
      </w:pPr>
    </w:p>
    <w:p w:rsidR="00FF7778" w:rsidRDefault="00FF7778">
      <w:pPr>
        <w:pStyle w:val="BodyText"/>
        <w:spacing w:before="5"/>
        <w:rPr>
          <w:sz w:val="20"/>
        </w:rPr>
      </w:pPr>
    </w:p>
    <w:p w:rsidR="00FF7778" w:rsidRDefault="00D90771">
      <w:pPr>
        <w:pStyle w:val="BodyText"/>
        <w:spacing w:before="90" w:line="275" w:lineRule="exact"/>
        <w:ind w:left="120"/>
      </w:pPr>
      <w:r>
        <w:t xml:space="preserve">Mr. </w:t>
      </w:r>
      <w:r w:rsidR="00633AD4">
        <w:t>Santanu T Ray</w:t>
      </w:r>
    </w:p>
    <w:p w:rsidR="00533814" w:rsidRDefault="00D90771">
      <w:pPr>
        <w:pStyle w:val="BodyText"/>
        <w:spacing w:line="242" w:lineRule="auto"/>
        <w:ind w:left="120" w:right="5717"/>
      </w:pPr>
      <w:r>
        <w:t xml:space="preserve">Resolution Professional </w:t>
      </w:r>
    </w:p>
    <w:p w:rsidR="00FF7778" w:rsidRDefault="00D90771">
      <w:pPr>
        <w:pStyle w:val="BodyText"/>
        <w:spacing w:line="242" w:lineRule="auto"/>
        <w:ind w:left="120" w:right="5717"/>
      </w:pPr>
      <w:r>
        <w:t>In the matter of</w:t>
      </w:r>
    </w:p>
    <w:p w:rsidR="00533814" w:rsidRDefault="00533814" w:rsidP="00633AD4">
      <w:pPr>
        <w:pStyle w:val="BodyText"/>
        <w:spacing w:line="242" w:lineRule="auto"/>
        <w:ind w:left="120" w:right="3381"/>
      </w:pPr>
      <w:r>
        <w:t>S</w:t>
      </w:r>
      <w:r w:rsidR="00633AD4">
        <w:t>ixth Dimension Project Solutions</w:t>
      </w:r>
      <w:bookmarkStart w:id="0" w:name="_GoBack"/>
      <w:bookmarkEnd w:id="0"/>
      <w:r>
        <w:t xml:space="preserve"> Limited</w:t>
      </w:r>
    </w:p>
    <w:p w:rsidR="00FF7778" w:rsidRDefault="00FF7778">
      <w:pPr>
        <w:pStyle w:val="BodyText"/>
        <w:rPr>
          <w:sz w:val="26"/>
        </w:rPr>
      </w:pPr>
    </w:p>
    <w:p w:rsidR="00FF7778" w:rsidRDefault="00FF7778">
      <w:pPr>
        <w:pStyle w:val="BodyText"/>
        <w:rPr>
          <w:sz w:val="26"/>
        </w:rPr>
      </w:pPr>
    </w:p>
    <w:p w:rsidR="00FF7778" w:rsidRDefault="00D90771">
      <w:pPr>
        <w:pStyle w:val="Heading1"/>
        <w:spacing w:before="231" w:line="360" w:lineRule="auto"/>
        <w:ind w:right="0" w:hanging="361"/>
      </w:pPr>
      <w:r>
        <w:t>Sub: Disclosure of eligibility under section 29A of the Insolvency and Bankruptcy Code, 2016 and declaration for submitting resolution plan.</w:t>
      </w:r>
    </w:p>
    <w:p w:rsidR="00FF7778" w:rsidRDefault="00FF7778">
      <w:pPr>
        <w:pStyle w:val="BodyText"/>
        <w:spacing w:before="8"/>
        <w:rPr>
          <w:b/>
          <w:sz w:val="35"/>
        </w:rPr>
      </w:pPr>
    </w:p>
    <w:p w:rsidR="00FF7778" w:rsidRDefault="00D90771">
      <w:pPr>
        <w:pStyle w:val="BodyText"/>
        <w:ind w:left="120"/>
      </w:pPr>
      <w:r>
        <w:t>Dear Sir,</w:t>
      </w:r>
    </w:p>
    <w:p w:rsidR="00FF7778" w:rsidRDefault="00FF7778">
      <w:pPr>
        <w:pStyle w:val="BodyText"/>
        <w:spacing w:before="9"/>
        <w:rPr>
          <w:sz w:val="32"/>
        </w:rPr>
      </w:pPr>
    </w:p>
    <w:p w:rsidR="00FF7778" w:rsidRDefault="00D90771" w:rsidP="00533814">
      <w:pPr>
        <w:pStyle w:val="ListParagraph"/>
        <w:numPr>
          <w:ilvl w:val="0"/>
          <w:numId w:val="2"/>
        </w:numPr>
        <w:tabs>
          <w:tab w:val="left" w:pos="481"/>
          <w:tab w:val="left" w:pos="4778"/>
        </w:tabs>
        <w:rPr>
          <w:sz w:val="24"/>
        </w:rPr>
      </w:pPr>
      <w:r>
        <w:rPr>
          <w:sz w:val="24"/>
        </w:rPr>
        <w:t>I</w:t>
      </w:r>
      <w:r>
        <w:rPr>
          <w:sz w:val="24"/>
          <w:u w:val="single"/>
        </w:rPr>
        <w:t xml:space="preserve"> </w:t>
      </w:r>
      <w:r>
        <w:rPr>
          <w:sz w:val="24"/>
          <w:u w:val="single"/>
        </w:rPr>
        <w:tab/>
      </w:r>
      <w:r>
        <w:rPr>
          <w:sz w:val="24"/>
        </w:rPr>
        <w:t>hereby</w:t>
      </w:r>
      <w:r>
        <w:rPr>
          <w:spacing w:val="4"/>
          <w:sz w:val="24"/>
        </w:rPr>
        <w:t xml:space="preserve"> </w:t>
      </w:r>
      <w:r>
        <w:rPr>
          <w:sz w:val="24"/>
        </w:rPr>
        <w:t>submit</w:t>
      </w:r>
      <w:r>
        <w:rPr>
          <w:spacing w:val="15"/>
          <w:sz w:val="24"/>
        </w:rPr>
        <w:t xml:space="preserve"> </w:t>
      </w:r>
      <w:r>
        <w:rPr>
          <w:sz w:val="24"/>
        </w:rPr>
        <w:t>this</w:t>
      </w:r>
      <w:r>
        <w:rPr>
          <w:spacing w:val="8"/>
          <w:sz w:val="24"/>
        </w:rPr>
        <w:t xml:space="preserve"> </w:t>
      </w:r>
      <w:r>
        <w:rPr>
          <w:sz w:val="24"/>
        </w:rPr>
        <w:t>declaration</w:t>
      </w:r>
      <w:r>
        <w:rPr>
          <w:spacing w:val="15"/>
          <w:sz w:val="24"/>
        </w:rPr>
        <w:t xml:space="preserve"> </w:t>
      </w:r>
      <w:r>
        <w:rPr>
          <w:sz w:val="24"/>
        </w:rPr>
        <w:t>for</w:t>
      </w:r>
    </w:p>
    <w:p w:rsidR="00FF7778" w:rsidRDefault="00D90771">
      <w:pPr>
        <w:pStyle w:val="BodyText"/>
        <w:tabs>
          <w:tab w:val="left" w:pos="3775"/>
        </w:tabs>
        <w:spacing w:before="137" w:line="360" w:lineRule="auto"/>
        <w:ind w:left="480" w:right="120"/>
        <w:jc w:val="both"/>
      </w:pPr>
      <w:r>
        <w:rPr>
          <w:u w:val="single"/>
        </w:rPr>
        <w:t xml:space="preserve"> </w:t>
      </w:r>
      <w:r>
        <w:rPr>
          <w:u w:val="single"/>
        </w:rPr>
        <w:tab/>
      </w:r>
      <w:r>
        <w:t xml:space="preserve">  </w:t>
      </w:r>
      <w:r>
        <w:rPr>
          <w:spacing w:val="-23"/>
        </w:rPr>
        <w:t xml:space="preserve"> </w:t>
      </w:r>
      <w:r>
        <w:t xml:space="preserve">under Section 29A </w:t>
      </w:r>
      <w:r>
        <w:rPr>
          <w:spacing w:val="4"/>
        </w:rPr>
        <w:t xml:space="preserve">of </w:t>
      </w:r>
      <w:r>
        <w:t>the Insolvency and Bankruptcy Code, 2016 (“</w:t>
      </w:r>
      <w:r>
        <w:rPr>
          <w:b/>
        </w:rPr>
        <w:t>Code</w:t>
      </w:r>
      <w:r>
        <w:t>”) as inserted by the Insolvency and Bankruptcy Code (Amendment) Act,</w:t>
      </w:r>
      <w:r>
        <w:rPr>
          <w:spacing w:val="1"/>
        </w:rPr>
        <w:t xml:space="preserve"> </w:t>
      </w:r>
      <w:r>
        <w:t>2018:</w:t>
      </w:r>
    </w:p>
    <w:p w:rsidR="00FF7778" w:rsidRDefault="00FF7778">
      <w:pPr>
        <w:pStyle w:val="BodyText"/>
        <w:rPr>
          <w:sz w:val="21"/>
        </w:rPr>
      </w:pPr>
    </w:p>
    <w:p w:rsidR="00FF7778" w:rsidRDefault="00D90771">
      <w:pPr>
        <w:pStyle w:val="BodyText"/>
        <w:spacing w:before="1" w:line="360" w:lineRule="auto"/>
        <w:ind w:left="480" w:right="130"/>
        <w:jc w:val="both"/>
      </w:pPr>
      <w:r>
        <w:t xml:space="preserve">I have understood the provisions of section 29A </w:t>
      </w:r>
      <w:r>
        <w:rPr>
          <w:spacing w:val="4"/>
        </w:rPr>
        <w:t xml:space="preserve">of </w:t>
      </w:r>
      <w:r>
        <w:t xml:space="preserve">the Code as inserted by the Insolvency  and  Bankruptcy  Code  (Amendment)  Ordinance,  2017.  I  confirm </w:t>
      </w:r>
      <w:r>
        <w:rPr>
          <w:spacing w:val="21"/>
        </w:rPr>
        <w:t xml:space="preserve"> </w:t>
      </w:r>
      <w:r>
        <w:t>that</w:t>
      </w:r>
    </w:p>
    <w:p w:rsidR="00FF7778" w:rsidRDefault="00D90771">
      <w:pPr>
        <w:pStyle w:val="Heading1"/>
        <w:tabs>
          <w:tab w:val="left" w:pos="1599"/>
          <w:tab w:val="left" w:pos="4174"/>
          <w:tab w:val="left" w:pos="4509"/>
          <w:tab w:val="left" w:pos="5257"/>
          <w:tab w:val="left" w:pos="6024"/>
          <w:tab w:val="left" w:pos="7099"/>
          <w:tab w:val="left" w:pos="8116"/>
        </w:tabs>
        <w:spacing w:line="274" w:lineRule="exact"/>
        <w:ind w:right="0"/>
      </w:pPr>
      <w:r>
        <w:t>neither</w:t>
      </w:r>
      <w:r>
        <w:tab/>
      </w:r>
      <w:r>
        <w:rPr>
          <w:u w:val="single"/>
        </w:rPr>
        <w:t xml:space="preserve"> </w:t>
      </w:r>
      <w:r>
        <w:rPr>
          <w:u w:val="single"/>
        </w:rPr>
        <w:tab/>
      </w:r>
      <w:r>
        <w:tab/>
        <w:t>nor</w:t>
      </w:r>
      <w:r>
        <w:tab/>
        <w:t>any</w:t>
      </w:r>
      <w:r>
        <w:tab/>
        <w:t>person</w:t>
      </w:r>
      <w:r>
        <w:tab/>
        <w:t>acting</w:t>
      </w:r>
      <w:r>
        <w:tab/>
        <w:t>jointly</w:t>
      </w:r>
    </w:p>
    <w:p w:rsidR="00FF7778" w:rsidRDefault="00D90771">
      <w:pPr>
        <w:tabs>
          <w:tab w:val="left" w:pos="4255"/>
          <w:tab w:val="left" w:pos="4571"/>
          <w:tab w:val="left" w:pos="6469"/>
        </w:tabs>
        <w:spacing w:before="141" w:line="360" w:lineRule="auto"/>
        <w:ind w:left="480" w:right="121"/>
        <w:jc w:val="both"/>
        <w:rPr>
          <w:sz w:val="24"/>
        </w:rPr>
      </w:pPr>
      <w:r>
        <w:rPr>
          <w:sz w:val="24"/>
          <w:u w:val="single"/>
        </w:rPr>
        <w:t xml:space="preserve"> </w:t>
      </w:r>
      <w:r>
        <w:rPr>
          <w:sz w:val="24"/>
          <w:u w:val="single"/>
        </w:rPr>
        <w:tab/>
      </w:r>
      <w:r>
        <w:rPr>
          <w:spacing w:val="-28"/>
          <w:sz w:val="24"/>
        </w:rPr>
        <w:t xml:space="preserve"> </w:t>
      </w:r>
      <w:r>
        <w:rPr>
          <w:sz w:val="24"/>
        </w:rPr>
        <w:t xml:space="preserve">or </w:t>
      </w:r>
      <w:r>
        <w:rPr>
          <w:b/>
          <w:sz w:val="24"/>
        </w:rPr>
        <w:t>any person who is a promoter or in the management  or</w:t>
      </w:r>
      <w:r>
        <w:rPr>
          <w:b/>
          <w:spacing w:val="43"/>
          <w:sz w:val="24"/>
        </w:rPr>
        <w:t xml:space="preserve"> </w:t>
      </w:r>
      <w:r>
        <w:rPr>
          <w:b/>
          <w:sz w:val="24"/>
        </w:rPr>
        <w:t>control</w:t>
      </w:r>
      <w:r>
        <w:rPr>
          <w:b/>
          <w:spacing w:val="53"/>
          <w:sz w:val="24"/>
        </w:rPr>
        <w:t xml:space="preserve"> </w:t>
      </w:r>
      <w:r>
        <w:rPr>
          <w:sz w:val="24"/>
        </w:rPr>
        <w:t>of</w:t>
      </w:r>
      <w:r>
        <w:rPr>
          <w:sz w:val="24"/>
          <w:u w:val="single"/>
        </w:rPr>
        <w:t xml:space="preserve"> </w:t>
      </w:r>
      <w:r>
        <w:rPr>
          <w:sz w:val="24"/>
          <w:u w:val="single"/>
        </w:rPr>
        <w:tab/>
      </w:r>
      <w:r>
        <w:rPr>
          <w:sz w:val="24"/>
          <w:u w:val="single"/>
        </w:rPr>
        <w:tab/>
      </w:r>
      <w:r>
        <w:rPr>
          <w:sz w:val="24"/>
          <w:u w:val="single"/>
        </w:rPr>
        <w:tab/>
      </w:r>
      <w:r>
        <w:rPr>
          <w:b/>
          <w:sz w:val="24"/>
        </w:rPr>
        <w:t xml:space="preserve">or any person acting jointly </w:t>
      </w:r>
      <w:r>
        <w:rPr>
          <w:sz w:val="24"/>
        </w:rPr>
        <w:t>with</w:t>
      </w:r>
      <w:r>
        <w:rPr>
          <w:sz w:val="24"/>
          <w:u w:val="single"/>
        </w:rPr>
        <w:t xml:space="preserve"> </w:t>
      </w:r>
      <w:r>
        <w:rPr>
          <w:sz w:val="24"/>
          <w:u w:val="single"/>
        </w:rPr>
        <w:tab/>
      </w:r>
      <w:r>
        <w:rPr>
          <w:sz w:val="24"/>
          <w:u w:val="single"/>
        </w:rPr>
        <w:tab/>
      </w:r>
      <w:r>
        <w:rPr>
          <w:sz w:val="24"/>
        </w:rPr>
        <w:t>:</w:t>
      </w:r>
    </w:p>
    <w:p w:rsidR="00FF7778" w:rsidRDefault="00FF7778">
      <w:pPr>
        <w:pStyle w:val="BodyText"/>
        <w:spacing w:before="7"/>
        <w:rPr>
          <w:sz w:val="20"/>
        </w:rPr>
      </w:pPr>
    </w:p>
    <w:p w:rsidR="00FF7778" w:rsidRDefault="00D90771">
      <w:pPr>
        <w:pStyle w:val="ListParagraph"/>
        <w:numPr>
          <w:ilvl w:val="0"/>
          <w:numId w:val="1"/>
        </w:numPr>
        <w:tabs>
          <w:tab w:val="left" w:pos="371"/>
        </w:tabs>
        <w:ind w:hanging="251"/>
        <w:rPr>
          <w:sz w:val="24"/>
        </w:rPr>
      </w:pPr>
      <w:r>
        <w:rPr>
          <w:spacing w:val="-3"/>
          <w:sz w:val="24"/>
        </w:rPr>
        <w:t xml:space="preserve">is </w:t>
      </w:r>
      <w:r>
        <w:rPr>
          <w:sz w:val="24"/>
        </w:rPr>
        <w:t>an undischarged</w:t>
      </w:r>
      <w:r>
        <w:rPr>
          <w:spacing w:val="5"/>
          <w:sz w:val="24"/>
        </w:rPr>
        <w:t xml:space="preserve"> </w:t>
      </w:r>
      <w:r>
        <w:rPr>
          <w:sz w:val="24"/>
        </w:rPr>
        <w:t>insolvent;</w:t>
      </w:r>
    </w:p>
    <w:p w:rsidR="00FF7778" w:rsidRDefault="00FF7778">
      <w:pPr>
        <w:pStyle w:val="BodyText"/>
        <w:spacing w:before="2"/>
        <w:rPr>
          <w:sz w:val="33"/>
        </w:rPr>
      </w:pPr>
    </w:p>
    <w:p w:rsidR="00FF7778" w:rsidRDefault="00D90771">
      <w:pPr>
        <w:pStyle w:val="ListParagraph"/>
        <w:numPr>
          <w:ilvl w:val="0"/>
          <w:numId w:val="1"/>
        </w:numPr>
        <w:tabs>
          <w:tab w:val="left" w:pos="409"/>
        </w:tabs>
        <w:spacing w:before="1" w:line="360" w:lineRule="auto"/>
        <w:ind w:left="480" w:right="119" w:hanging="361"/>
        <w:jc w:val="both"/>
        <w:rPr>
          <w:sz w:val="24"/>
        </w:rPr>
      </w:pPr>
      <w:r>
        <w:rPr>
          <w:spacing w:val="-3"/>
          <w:sz w:val="24"/>
        </w:rPr>
        <w:t xml:space="preserve">is </w:t>
      </w:r>
      <w:r>
        <w:rPr>
          <w:sz w:val="24"/>
        </w:rPr>
        <w:t xml:space="preserve">a willful defaulter </w:t>
      </w:r>
      <w:r>
        <w:rPr>
          <w:spacing w:val="-3"/>
          <w:sz w:val="24"/>
        </w:rPr>
        <w:t xml:space="preserve">in </w:t>
      </w:r>
      <w:r>
        <w:rPr>
          <w:sz w:val="24"/>
        </w:rPr>
        <w:t xml:space="preserve">accordance with the guidelines </w:t>
      </w:r>
      <w:r>
        <w:rPr>
          <w:spacing w:val="4"/>
          <w:sz w:val="24"/>
        </w:rPr>
        <w:t xml:space="preserve">of </w:t>
      </w:r>
      <w:r>
        <w:rPr>
          <w:sz w:val="24"/>
        </w:rPr>
        <w:t xml:space="preserve">the Reserve Bank </w:t>
      </w:r>
      <w:r>
        <w:rPr>
          <w:spacing w:val="4"/>
          <w:sz w:val="24"/>
        </w:rPr>
        <w:t xml:space="preserve">of </w:t>
      </w:r>
      <w:r>
        <w:rPr>
          <w:sz w:val="24"/>
        </w:rPr>
        <w:t>India issued under the Banking Regulation Act, 1949 (10 of</w:t>
      </w:r>
      <w:r>
        <w:rPr>
          <w:spacing w:val="-7"/>
          <w:sz w:val="24"/>
        </w:rPr>
        <w:t xml:space="preserve"> </w:t>
      </w:r>
      <w:r>
        <w:rPr>
          <w:sz w:val="24"/>
        </w:rPr>
        <w:t>1949);</w:t>
      </w:r>
    </w:p>
    <w:p w:rsidR="00FF7778" w:rsidRDefault="00FF7778">
      <w:pPr>
        <w:pStyle w:val="BodyText"/>
        <w:spacing w:before="8"/>
        <w:rPr>
          <w:sz w:val="20"/>
        </w:rPr>
      </w:pPr>
    </w:p>
    <w:p w:rsidR="00FF7778" w:rsidRDefault="00D90771">
      <w:pPr>
        <w:pStyle w:val="ListParagraph"/>
        <w:numPr>
          <w:ilvl w:val="0"/>
          <w:numId w:val="1"/>
        </w:numPr>
        <w:tabs>
          <w:tab w:val="left" w:pos="457"/>
        </w:tabs>
        <w:spacing w:line="360" w:lineRule="auto"/>
        <w:ind w:left="480" w:right="119" w:hanging="303"/>
        <w:jc w:val="both"/>
        <w:rPr>
          <w:sz w:val="24"/>
        </w:rPr>
      </w:pPr>
      <w:r>
        <w:rPr>
          <w:sz w:val="24"/>
        </w:rPr>
        <w:t xml:space="preserve">at the time </w:t>
      </w:r>
      <w:r>
        <w:rPr>
          <w:spacing w:val="4"/>
          <w:sz w:val="24"/>
        </w:rPr>
        <w:t xml:space="preserve">of </w:t>
      </w:r>
      <w:r>
        <w:rPr>
          <w:sz w:val="24"/>
        </w:rPr>
        <w:t xml:space="preserve">submission </w:t>
      </w:r>
      <w:r>
        <w:rPr>
          <w:spacing w:val="4"/>
          <w:sz w:val="24"/>
        </w:rPr>
        <w:t xml:space="preserve">of </w:t>
      </w:r>
      <w:r>
        <w:rPr>
          <w:sz w:val="24"/>
        </w:rPr>
        <w:t xml:space="preserve">the resolution plan has an account, or an account of a corporate debtor under the management or control </w:t>
      </w:r>
      <w:r>
        <w:rPr>
          <w:spacing w:val="4"/>
          <w:sz w:val="24"/>
        </w:rPr>
        <w:t xml:space="preserve">of </w:t>
      </w:r>
      <w:r>
        <w:rPr>
          <w:sz w:val="24"/>
        </w:rPr>
        <w:t xml:space="preserve">such person or of whom such person </w:t>
      </w:r>
      <w:r>
        <w:rPr>
          <w:spacing w:val="-3"/>
          <w:sz w:val="24"/>
        </w:rPr>
        <w:t xml:space="preserve">is </w:t>
      </w:r>
      <w:r>
        <w:rPr>
          <w:sz w:val="24"/>
        </w:rPr>
        <w:t xml:space="preserve">a promoter, classified as non-performing asset </w:t>
      </w:r>
      <w:r>
        <w:rPr>
          <w:spacing w:val="-3"/>
          <w:sz w:val="24"/>
        </w:rPr>
        <w:t xml:space="preserve">in </w:t>
      </w:r>
      <w:r>
        <w:rPr>
          <w:sz w:val="24"/>
        </w:rPr>
        <w:t xml:space="preserve">accordance with the guidelines </w:t>
      </w:r>
      <w:r>
        <w:rPr>
          <w:spacing w:val="4"/>
          <w:sz w:val="24"/>
        </w:rPr>
        <w:t xml:space="preserve">of </w:t>
      </w:r>
      <w:r>
        <w:rPr>
          <w:sz w:val="24"/>
        </w:rPr>
        <w:t xml:space="preserve">the Reserve Bank </w:t>
      </w:r>
      <w:r>
        <w:rPr>
          <w:spacing w:val="4"/>
          <w:sz w:val="24"/>
        </w:rPr>
        <w:t xml:space="preserve">of </w:t>
      </w:r>
      <w:r>
        <w:rPr>
          <w:sz w:val="24"/>
        </w:rPr>
        <w:t xml:space="preserve">India issued under the Banking Regulation Act, 1949 (10 of 1949) or the guidelines </w:t>
      </w:r>
      <w:r>
        <w:rPr>
          <w:spacing w:val="4"/>
          <w:sz w:val="24"/>
        </w:rPr>
        <w:t xml:space="preserve">of </w:t>
      </w:r>
      <w:r>
        <w:rPr>
          <w:sz w:val="24"/>
        </w:rPr>
        <w:t xml:space="preserve">a financial sector regulator </w:t>
      </w:r>
      <w:r>
        <w:rPr>
          <w:spacing w:val="-2"/>
          <w:sz w:val="24"/>
        </w:rPr>
        <w:t xml:space="preserve">issued </w:t>
      </w:r>
      <w:r>
        <w:rPr>
          <w:sz w:val="24"/>
        </w:rPr>
        <w:t xml:space="preserve">under any other </w:t>
      </w:r>
      <w:r>
        <w:rPr>
          <w:spacing w:val="-4"/>
          <w:sz w:val="24"/>
        </w:rPr>
        <w:t xml:space="preserve">law </w:t>
      </w:r>
      <w:r>
        <w:rPr>
          <w:sz w:val="24"/>
        </w:rPr>
        <w:t xml:space="preserve">for the time being </w:t>
      </w:r>
      <w:r>
        <w:rPr>
          <w:spacing w:val="-3"/>
          <w:sz w:val="24"/>
        </w:rPr>
        <w:t xml:space="preserve">in </w:t>
      </w:r>
      <w:r>
        <w:rPr>
          <w:sz w:val="24"/>
        </w:rPr>
        <w:t xml:space="preserve">force, and at </w:t>
      </w:r>
      <w:r>
        <w:rPr>
          <w:spacing w:val="-3"/>
          <w:sz w:val="24"/>
        </w:rPr>
        <w:t xml:space="preserve">least </w:t>
      </w:r>
      <w:r>
        <w:rPr>
          <w:sz w:val="24"/>
        </w:rPr>
        <w:t>a period of</w:t>
      </w:r>
      <w:r>
        <w:rPr>
          <w:spacing w:val="37"/>
          <w:sz w:val="24"/>
        </w:rPr>
        <w:t xml:space="preserve"> </w:t>
      </w:r>
      <w:r>
        <w:rPr>
          <w:sz w:val="24"/>
        </w:rPr>
        <w:t>one year has lapsed from</w:t>
      </w:r>
    </w:p>
    <w:p w:rsidR="00FF7778" w:rsidRDefault="00FF7778">
      <w:pPr>
        <w:spacing w:line="360" w:lineRule="auto"/>
        <w:jc w:val="both"/>
        <w:rPr>
          <w:sz w:val="24"/>
        </w:rPr>
        <w:sectPr w:rsidR="00FF7778">
          <w:type w:val="continuous"/>
          <w:pgSz w:w="11910" w:h="16840"/>
          <w:pgMar w:top="1580" w:right="1320" w:bottom="280" w:left="1680" w:header="720" w:footer="720" w:gutter="0"/>
          <w:cols w:space="720"/>
        </w:sectPr>
      </w:pPr>
    </w:p>
    <w:p w:rsidR="00FF7778" w:rsidRDefault="00D90771">
      <w:pPr>
        <w:pStyle w:val="BodyText"/>
        <w:spacing w:before="74" w:line="360" w:lineRule="auto"/>
        <w:ind w:left="480" w:right="13"/>
      </w:pPr>
      <w:r>
        <w:lastRenderedPageBreak/>
        <w:t>the date of such classification till the date of commencement of the corporate insolvency resolution process of the corporate debtor:</w:t>
      </w:r>
    </w:p>
    <w:p w:rsidR="00FF7778" w:rsidRDefault="00FF7778">
      <w:pPr>
        <w:pStyle w:val="BodyText"/>
        <w:spacing w:before="8"/>
        <w:rPr>
          <w:sz w:val="20"/>
        </w:rPr>
      </w:pPr>
    </w:p>
    <w:p w:rsidR="00FF7778" w:rsidRDefault="00D90771">
      <w:pPr>
        <w:pStyle w:val="ListParagraph"/>
        <w:numPr>
          <w:ilvl w:val="0"/>
          <w:numId w:val="1"/>
        </w:numPr>
        <w:tabs>
          <w:tab w:val="left" w:pos="385"/>
        </w:tabs>
        <w:ind w:left="384" w:hanging="265"/>
        <w:rPr>
          <w:sz w:val="24"/>
        </w:rPr>
      </w:pPr>
      <w:r>
        <w:rPr>
          <w:sz w:val="24"/>
        </w:rPr>
        <w:t>has been convicted for any offence punishable with imprisonment</w:t>
      </w:r>
      <w:r>
        <w:rPr>
          <w:spacing w:val="7"/>
          <w:sz w:val="24"/>
        </w:rPr>
        <w:t xml:space="preserve"> </w:t>
      </w:r>
      <w:r>
        <w:rPr>
          <w:sz w:val="24"/>
        </w:rPr>
        <w:t>–</w:t>
      </w:r>
    </w:p>
    <w:p w:rsidR="00FF7778" w:rsidRDefault="00FF7778">
      <w:pPr>
        <w:pStyle w:val="BodyText"/>
        <w:spacing w:before="2"/>
        <w:rPr>
          <w:sz w:val="33"/>
        </w:rPr>
      </w:pPr>
    </w:p>
    <w:p w:rsidR="00FF7778" w:rsidRDefault="00D90771">
      <w:pPr>
        <w:pStyle w:val="ListParagraph"/>
        <w:numPr>
          <w:ilvl w:val="1"/>
          <w:numId w:val="1"/>
        </w:numPr>
        <w:tabs>
          <w:tab w:val="left" w:pos="841"/>
        </w:tabs>
        <w:ind w:hanging="361"/>
        <w:rPr>
          <w:sz w:val="24"/>
        </w:rPr>
      </w:pPr>
      <w:r>
        <w:rPr>
          <w:sz w:val="24"/>
        </w:rPr>
        <w:t xml:space="preserve">for two years or more under any </w:t>
      </w:r>
      <w:r>
        <w:rPr>
          <w:spacing w:val="-3"/>
          <w:sz w:val="24"/>
        </w:rPr>
        <w:t xml:space="preserve">Act </w:t>
      </w:r>
      <w:r>
        <w:rPr>
          <w:sz w:val="24"/>
        </w:rPr>
        <w:t>specified under the Twelfth Schedule;</w:t>
      </w:r>
      <w:r>
        <w:rPr>
          <w:spacing w:val="-3"/>
          <w:sz w:val="24"/>
        </w:rPr>
        <w:t xml:space="preserve"> </w:t>
      </w:r>
      <w:r>
        <w:rPr>
          <w:sz w:val="24"/>
        </w:rPr>
        <w:t>or</w:t>
      </w:r>
    </w:p>
    <w:p w:rsidR="00FF7778" w:rsidRDefault="00D90771">
      <w:pPr>
        <w:pStyle w:val="ListParagraph"/>
        <w:numPr>
          <w:ilvl w:val="1"/>
          <w:numId w:val="1"/>
        </w:numPr>
        <w:tabs>
          <w:tab w:val="left" w:pos="841"/>
        </w:tabs>
        <w:spacing w:before="137"/>
        <w:ind w:hanging="361"/>
        <w:rPr>
          <w:sz w:val="24"/>
        </w:rPr>
      </w:pPr>
      <w:r>
        <w:rPr>
          <w:sz w:val="24"/>
        </w:rPr>
        <w:t xml:space="preserve">for seven years or more under any law for the time being </w:t>
      </w:r>
      <w:r>
        <w:rPr>
          <w:spacing w:val="-3"/>
          <w:sz w:val="24"/>
        </w:rPr>
        <w:t>in</w:t>
      </w:r>
      <w:r>
        <w:rPr>
          <w:spacing w:val="6"/>
          <w:sz w:val="24"/>
        </w:rPr>
        <w:t xml:space="preserve"> </w:t>
      </w:r>
      <w:r>
        <w:rPr>
          <w:sz w:val="24"/>
        </w:rPr>
        <w:t>force:</w:t>
      </w:r>
    </w:p>
    <w:p w:rsidR="00FF7778" w:rsidRDefault="00FF7778">
      <w:pPr>
        <w:pStyle w:val="BodyText"/>
        <w:spacing w:before="9"/>
        <w:rPr>
          <w:sz w:val="32"/>
        </w:rPr>
      </w:pPr>
    </w:p>
    <w:p w:rsidR="00FF7778" w:rsidRDefault="00D90771">
      <w:pPr>
        <w:pStyle w:val="ListParagraph"/>
        <w:numPr>
          <w:ilvl w:val="0"/>
          <w:numId w:val="1"/>
        </w:numPr>
        <w:tabs>
          <w:tab w:val="left" w:pos="371"/>
        </w:tabs>
        <w:ind w:hanging="251"/>
        <w:rPr>
          <w:sz w:val="24"/>
        </w:rPr>
      </w:pPr>
      <w:r>
        <w:rPr>
          <w:spacing w:val="-3"/>
          <w:sz w:val="24"/>
        </w:rPr>
        <w:t xml:space="preserve">is </w:t>
      </w:r>
      <w:r>
        <w:rPr>
          <w:sz w:val="24"/>
        </w:rPr>
        <w:t xml:space="preserve">disqualified </w:t>
      </w:r>
      <w:r>
        <w:rPr>
          <w:spacing w:val="2"/>
          <w:sz w:val="24"/>
        </w:rPr>
        <w:t xml:space="preserve">to </w:t>
      </w:r>
      <w:r>
        <w:rPr>
          <w:spacing w:val="-3"/>
          <w:sz w:val="24"/>
        </w:rPr>
        <w:t xml:space="preserve">act </w:t>
      </w:r>
      <w:r>
        <w:rPr>
          <w:sz w:val="24"/>
        </w:rPr>
        <w:t>as a director under the Companies Act, 2013 (18 of</w:t>
      </w:r>
      <w:r>
        <w:rPr>
          <w:spacing w:val="-3"/>
          <w:sz w:val="24"/>
        </w:rPr>
        <w:t xml:space="preserve"> </w:t>
      </w:r>
      <w:r>
        <w:rPr>
          <w:sz w:val="24"/>
        </w:rPr>
        <w:t>2013):</w:t>
      </w:r>
    </w:p>
    <w:p w:rsidR="00FF7778" w:rsidRDefault="00FF7778">
      <w:pPr>
        <w:pStyle w:val="BodyText"/>
        <w:spacing w:before="9"/>
        <w:rPr>
          <w:sz w:val="32"/>
        </w:rPr>
      </w:pPr>
    </w:p>
    <w:p w:rsidR="00FF7778" w:rsidRDefault="00D90771">
      <w:pPr>
        <w:pStyle w:val="ListParagraph"/>
        <w:numPr>
          <w:ilvl w:val="0"/>
          <w:numId w:val="1"/>
        </w:numPr>
        <w:tabs>
          <w:tab w:val="left" w:pos="356"/>
        </w:tabs>
        <w:spacing w:line="362" w:lineRule="auto"/>
        <w:ind w:left="480" w:right="127" w:hanging="361"/>
        <w:jc w:val="both"/>
        <w:rPr>
          <w:sz w:val="24"/>
        </w:rPr>
      </w:pPr>
      <w:r>
        <w:rPr>
          <w:spacing w:val="-3"/>
          <w:sz w:val="24"/>
        </w:rPr>
        <w:t xml:space="preserve">is </w:t>
      </w:r>
      <w:r>
        <w:rPr>
          <w:sz w:val="24"/>
        </w:rPr>
        <w:t xml:space="preserve">prohibited by the Securities and Exchange Board of India from trading </w:t>
      </w:r>
      <w:r>
        <w:rPr>
          <w:spacing w:val="-3"/>
          <w:sz w:val="24"/>
        </w:rPr>
        <w:t xml:space="preserve">in </w:t>
      </w:r>
      <w:r>
        <w:rPr>
          <w:sz w:val="24"/>
        </w:rPr>
        <w:t>securities or accessing the securities</w:t>
      </w:r>
      <w:r>
        <w:rPr>
          <w:spacing w:val="4"/>
          <w:sz w:val="24"/>
        </w:rPr>
        <w:t xml:space="preserve"> </w:t>
      </w:r>
      <w:r>
        <w:rPr>
          <w:sz w:val="24"/>
        </w:rPr>
        <w:t>markets;</w:t>
      </w:r>
    </w:p>
    <w:p w:rsidR="00FF7778" w:rsidRDefault="00FF7778">
      <w:pPr>
        <w:pStyle w:val="BodyText"/>
        <w:spacing w:before="7"/>
        <w:rPr>
          <w:sz w:val="20"/>
        </w:rPr>
      </w:pPr>
    </w:p>
    <w:p w:rsidR="00FF7778" w:rsidRDefault="00D90771">
      <w:pPr>
        <w:pStyle w:val="ListParagraph"/>
        <w:numPr>
          <w:ilvl w:val="0"/>
          <w:numId w:val="1"/>
        </w:numPr>
        <w:tabs>
          <w:tab w:val="left" w:pos="447"/>
        </w:tabs>
        <w:spacing w:before="1" w:line="360" w:lineRule="auto"/>
        <w:ind w:left="480" w:right="125" w:hanging="361"/>
        <w:jc w:val="both"/>
        <w:rPr>
          <w:sz w:val="24"/>
        </w:rPr>
      </w:pPr>
      <w:r>
        <w:rPr>
          <w:sz w:val="24"/>
        </w:rPr>
        <w:t xml:space="preserve">has been and/or </w:t>
      </w:r>
      <w:r>
        <w:rPr>
          <w:spacing w:val="-5"/>
          <w:sz w:val="24"/>
        </w:rPr>
        <w:t xml:space="preserve">is </w:t>
      </w:r>
      <w:r>
        <w:rPr>
          <w:sz w:val="24"/>
        </w:rPr>
        <w:t xml:space="preserve">a promoter or </w:t>
      </w:r>
      <w:r>
        <w:rPr>
          <w:spacing w:val="-3"/>
          <w:sz w:val="24"/>
        </w:rPr>
        <w:t xml:space="preserve">in </w:t>
      </w:r>
      <w:r>
        <w:rPr>
          <w:sz w:val="24"/>
        </w:rPr>
        <w:t xml:space="preserve">the management or control of a corporate debtor in which a preferential transaction, undervalued transaction, extortionate credit transaction or fraudulent transaction has taken place and </w:t>
      </w:r>
      <w:r>
        <w:rPr>
          <w:spacing w:val="-3"/>
          <w:sz w:val="24"/>
        </w:rPr>
        <w:t xml:space="preserve">in </w:t>
      </w:r>
      <w:r>
        <w:rPr>
          <w:sz w:val="24"/>
        </w:rPr>
        <w:t xml:space="preserve">respect of which an order has been </w:t>
      </w:r>
      <w:r>
        <w:rPr>
          <w:spacing w:val="-3"/>
          <w:sz w:val="24"/>
        </w:rPr>
        <w:t xml:space="preserve">made </w:t>
      </w:r>
      <w:r>
        <w:rPr>
          <w:sz w:val="24"/>
        </w:rPr>
        <w:t>by the Adjudicating Authority under this Code:</w:t>
      </w:r>
    </w:p>
    <w:p w:rsidR="00FF7778" w:rsidRDefault="00FF7778">
      <w:pPr>
        <w:pStyle w:val="BodyText"/>
        <w:spacing w:before="10"/>
        <w:rPr>
          <w:sz w:val="20"/>
        </w:rPr>
      </w:pPr>
    </w:p>
    <w:p w:rsidR="00FF7778" w:rsidRDefault="00D90771">
      <w:pPr>
        <w:pStyle w:val="ListParagraph"/>
        <w:numPr>
          <w:ilvl w:val="0"/>
          <w:numId w:val="1"/>
        </w:numPr>
        <w:tabs>
          <w:tab w:val="left" w:pos="385"/>
        </w:tabs>
        <w:spacing w:line="360" w:lineRule="auto"/>
        <w:ind w:left="480" w:right="114" w:hanging="361"/>
        <w:jc w:val="both"/>
        <w:rPr>
          <w:sz w:val="24"/>
        </w:rPr>
      </w:pPr>
      <w:r>
        <w:rPr>
          <w:sz w:val="24"/>
        </w:rPr>
        <w:t xml:space="preserve">has executed a guarantee </w:t>
      </w:r>
      <w:r>
        <w:rPr>
          <w:spacing w:val="-3"/>
          <w:sz w:val="24"/>
        </w:rPr>
        <w:t xml:space="preserve">in </w:t>
      </w:r>
      <w:r>
        <w:rPr>
          <w:sz w:val="24"/>
        </w:rPr>
        <w:t xml:space="preserve">favour of a creditor </w:t>
      </w:r>
      <w:r>
        <w:rPr>
          <w:spacing w:val="-3"/>
          <w:sz w:val="24"/>
        </w:rPr>
        <w:t xml:space="preserve">in </w:t>
      </w:r>
      <w:r>
        <w:rPr>
          <w:sz w:val="24"/>
        </w:rPr>
        <w:t xml:space="preserve">respect of a corporate debtor against which an application for insolvency resolution </w:t>
      </w:r>
      <w:r>
        <w:rPr>
          <w:spacing w:val="-3"/>
          <w:sz w:val="24"/>
        </w:rPr>
        <w:t xml:space="preserve">made </w:t>
      </w:r>
      <w:r>
        <w:rPr>
          <w:sz w:val="24"/>
        </w:rPr>
        <w:t xml:space="preserve">by such creditor has been admitted under this Code and such guarantee has been invoked by the creditor and remains unpaid </w:t>
      </w:r>
      <w:r>
        <w:rPr>
          <w:spacing w:val="-3"/>
          <w:sz w:val="24"/>
        </w:rPr>
        <w:t xml:space="preserve">in </w:t>
      </w:r>
      <w:r>
        <w:rPr>
          <w:sz w:val="24"/>
        </w:rPr>
        <w:t>full or</w:t>
      </w:r>
      <w:r>
        <w:rPr>
          <w:spacing w:val="11"/>
          <w:sz w:val="24"/>
        </w:rPr>
        <w:t xml:space="preserve"> </w:t>
      </w:r>
      <w:r>
        <w:rPr>
          <w:sz w:val="24"/>
        </w:rPr>
        <w:t>part</w:t>
      </w:r>
    </w:p>
    <w:p w:rsidR="00FF7778" w:rsidRDefault="00FF7778">
      <w:pPr>
        <w:pStyle w:val="BodyText"/>
        <w:spacing w:before="11"/>
        <w:rPr>
          <w:sz w:val="20"/>
        </w:rPr>
      </w:pPr>
    </w:p>
    <w:p w:rsidR="00FF7778" w:rsidRDefault="00D90771">
      <w:pPr>
        <w:pStyle w:val="ListParagraph"/>
        <w:numPr>
          <w:ilvl w:val="0"/>
          <w:numId w:val="1"/>
        </w:numPr>
        <w:tabs>
          <w:tab w:val="left" w:pos="371"/>
        </w:tabs>
        <w:spacing w:line="360" w:lineRule="auto"/>
        <w:ind w:left="480" w:right="132" w:hanging="361"/>
        <w:jc w:val="both"/>
        <w:rPr>
          <w:sz w:val="24"/>
        </w:rPr>
      </w:pPr>
      <w:r>
        <w:rPr>
          <w:spacing w:val="-3"/>
          <w:sz w:val="24"/>
        </w:rPr>
        <w:t xml:space="preserve">is </w:t>
      </w:r>
      <w:r>
        <w:rPr>
          <w:sz w:val="24"/>
        </w:rPr>
        <w:t xml:space="preserve">subject to any disability, corresponding </w:t>
      </w:r>
      <w:r>
        <w:rPr>
          <w:spacing w:val="2"/>
          <w:sz w:val="24"/>
        </w:rPr>
        <w:t xml:space="preserve">to </w:t>
      </w:r>
      <w:r>
        <w:rPr>
          <w:sz w:val="24"/>
        </w:rPr>
        <w:t xml:space="preserve">clauses (a) </w:t>
      </w:r>
      <w:r>
        <w:rPr>
          <w:spacing w:val="2"/>
          <w:sz w:val="24"/>
        </w:rPr>
        <w:t xml:space="preserve">to </w:t>
      </w:r>
      <w:r>
        <w:rPr>
          <w:sz w:val="24"/>
        </w:rPr>
        <w:t xml:space="preserve">(h), under any law </w:t>
      </w:r>
      <w:r>
        <w:rPr>
          <w:spacing w:val="-3"/>
          <w:sz w:val="24"/>
        </w:rPr>
        <w:t xml:space="preserve">in </w:t>
      </w:r>
      <w:r>
        <w:rPr>
          <w:sz w:val="24"/>
        </w:rPr>
        <w:t>a jurisdiction outside India;</w:t>
      </w:r>
      <w:r>
        <w:rPr>
          <w:spacing w:val="-6"/>
          <w:sz w:val="24"/>
        </w:rPr>
        <w:t xml:space="preserve"> </w:t>
      </w:r>
      <w:r>
        <w:rPr>
          <w:sz w:val="24"/>
        </w:rPr>
        <w:t>or</w:t>
      </w:r>
    </w:p>
    <w:p w:rsidR="00FF7778" w:rsidRDefault="00FF7778">
      <w:pPr>
        <w:pStyle w:val="BodyText"/>
        <w:spacing w:before="7"/>
        <w:rPr>
          <w:sz w:val="20"/>
        </w:rPr>
      </w:pPr>
    </w:p>
    <w:p w:rsidR="00FF7778" w:rsidRDefault="00D90771">
      <w:pPr>
        <w:pStyle w:val="ListParagraph"/>
        <w:numPr>
          <w:ilvl w:val="0"/>
          <w:numId w:val="1"/>
        </w:numPr>
        <w:tabs>
          <w:tab w:val="left" w:pos="327"/>
        </w:tabs>
        <w:ind w:left="326" w:hanging="207"/>
        <w:rPr>
          <w:sz w:val="24"/>
        </w:rPr>
      </w:pPr>
      <w:r>
        <w:rPr>
          <w:sz w:val="24"/>
        </w:rPr>
        <w:t>has a connected person not eligible under clauses (a) to</w:t>
      </w:r>
      <w:r>
        <w:rPr>
          <w:spacing w:val="2"/>
          <w:sz w:val="24"/>
        </w:rPr>
        <w:t xml:space="preserve"> </w:t>
      </w:r>
      <w:r>
        <w:rPr>
          <w:spacing w:val="-3"/>
          <w:sz w:val="24"/>
        </w:rPr>
        <w:t>(i)</w:t>
      </w:r>
    </w:p>
    <w:p w:rsidR="00FF7778" w:rsidRDefault="00FF7778">
      <w:pPr>
        <w:pStyle w:val="BodyText"/>
        <w:spacing w:before="3"/>
        <w:rPr>
          <w:sz w:val="33"/>
        </w:rPr>
      </w:pPr>
    </w:p>
    <w:p w:rsidR="00FF7778" w:rsidRDefault="00D90771">
      <w:pPr>
        <w:pStyle w:val="BodyText"/>
        <w:tabs>
          <w:tab w:val="left" w:pos="6340"/>
        </w:tabs>
        <w:spacing w:line="360" w:lineRule="auto"/>
        <w:ind w:left="327" w:right="117"/>
        <w:jc w:val="both"/>
      </w:pPr>
      <w:r>
        <w:t>I  therefore,</w:t>
      </w:r>
      <w:r>
        <w:rPr>
          <w:spacing w:val="-9"/>
        </w:rPr>
        <w:t xml:space="preserve"> </w:t>
      </w:r>
      <w:r>
        <w:t>confirm</w:t>
      </w:r>
      <w:r>
        <w:rPr>
          <w:spacing w:val="20"/>
        </w:rPr>
        <w:t xml:space="preserve"> </w:t>
      </w:r>
      <w:r>
        <w:t>that</w:t>
      </w:r>
      <w:r>
        <w:rPr>
          <w:u w:val="single"/>
        </w:rPr>
        <w:t xml:space="preserve"> </w:t>
      </w:r>
      <w:r>
        <w:rPr>
          <w:u w:val="single"/>
        </w:rPr>
        <w:tab/>
      </w:r>
      <w:r>
        <w:rPr>
          <w:spacing w:val="-3"/>
        </w:rPr>
        <w:t xml:space="preserve">is </w:t>
      </w:r>
      <w:r>
        <w:t>eligible under Section 29A of the Insolvency and Bankruptcy Code, 2016 (“</w:t>
      </w:r>
      <w:r>
        <w:rPr>
          <w:b/>
        </w:rPr>
        <w:t>Code</w:t>
      </w:r>
      <w:r>
        <w:t xml:space="preserve">”) as inserted by the Insolvency and Bankruptcy Code (Amendment) Act, 2018 to </w:t>
      </w:r>
      <w:r>
        <w:rPr>
          <w:spacing w:val="-3"/>
        </w:rPr>
        <w:t xml:space="preserve">submit </w:t>
      </w:r>
      <w:r>
        <w:t xml:space="preserve">a resolution plan for </w:t>
      </w:r>
      <w:r w:rsidR="00533814">
        <w:t>Sejal Glass</w:t>
      </w:r>
      <w:r>
        <w:rPr>
          <w:spacing w:val="2"/>
        </w:rPr>
        <w:t xml:space="preserve"> </w:t>
      </w:r>
      <w:r>
        <w:t>Limited.</w:t>
      </w:r>
    </w:p>
    <w:p w:rsidR="00FF7778" w:rsidRDefault="00FF7778">
      <w:pPr>
        <w:pStyle w:val="BodyText"/>
        <w:spacing w:before="11"/>
        <w:rPr>
          <w:sz w:val="20"/>
        </w:rPr>
      </w:pPr>
    </w:p>
    <w:p w:rsidR="00FF7778" w:rsidRDefault="00D90771">
      <w:pPr>
        <w:pStyle w:val="ListParagraph"/>
        <w:numPr>
          <w:ilvl w:val="0"/>
          <w:numId w:val="2"/>
        </w:numPr>
        <w:tabs>
          <w:tab w:val="left" w:pos="481"/>
          <w:tab w:val="left" w:pos="5239"/>
        </w:tabs>
        <w:spacing w:line="360" w:lineRule="auto"/>
        <w:ind w:left="480" w:right="118"/>
        <w:jc w:val="both"/>
        <w:rPr>
          <w:sz w:val="24"/>
        </w:rPr>
      </w:pPr>
      <w:r>
        <w:rPr>
          <w:sz w:val="24"/>
        </w:rPr>
        <w:t>I undertake on</w:t>
      </w:r>
      <w:r>
        <w:rPr>
          <w:spacing w:val="35"/>
          <w:sz w:val="24"/>
        </w:rPr>
        <w:t xml:space="preserve"> </w:t>
      </w:r>
      <w:r>
        <w:rPr>
          <w:sz w:val="24"/>
        </w:rPr>
        <w:t>behalf</w:t>
      </w:r>
      <w:r>
        <w:rPr>
          <w:spacing w:val="9"/>
          <w:sz w:val="24"/>
        </w:rPr>
        <w:t xml:space="preserve"> </w:t>
      </w:r>
      <w:r>
        <w:rPr>
          <w:sz w:val="24"/>
        </w:rPr>
        <w:t>of</w:t>
      </w:r>
      <w:r>
        <w:rPr>
          <w:sz w:val="24"/>
          <w:u w:val="single"/>
        </w:rPr>
        <w:t xml:space="preserve"> </w:t>
      </w:r>
      <w:r>
        <w:rPr>
          <w:sz w:val="24"/>
          <w:u w:val="single"/>
        </w:rPr>
        <w:tab/>
      </w:r>
      <w:r>
        <w:rPr>
          <w:sz w:val="24"/>
        </w:rPr>
        <w:t xml:space="preserve">, that during the Resolution Process, </w:t>
      </w:r>
      <w:r>
        <w:rPr>
          <w:spacing w:val="-3"/>
          <w:sz w:val="24"/>
        </w:rPr>
        <w:t xml:space="preserve">no </w:t>
      </w:r>
      <w:r>
        <w:rPr>
          <w:sz w:val="24"/>
        </w:rPr>
        <w:t xml:space="preserve">person who would </w:t>
      </w:r>
      <w:r>
        <w:rPr>
          <w:spacing w:val="-3"/>
          <w:sz w:val="24"/>
        </w:rPr>
        <w:t xml:space="preserve">be </w:t>
      </w:r>
      <w:r>
        <w:rPr>
          <w:sz w:val="24"/>
        </w:rPr>
        <w:t xml:space="preserve">considered as Connected Person and </w:t>
      </w:r>
      <w:r>
        <w:rPr>
          <w:spacing w:val="-3"/>
          <w:sz w:val="24"/>
        </w:rPr>
        <w:t xml:space="preserve">is </w:t>
      </w:r>
      <w:r>
        <w:rPr>
          <w:sz w:val="24"/>
        </w:rPr>
        <w:t xml:space="preserve">not eligible </w:t>
      </w:r>
      <w:r>
        <w:rPr>
          <w:spacing w:val="2"/>
          <w:sz w:val="24"/>
        </w:rPr>
        <w:t xml:space="preserve">to </w:t>
      </w:r>
      <w:r>
        <w:rPr>
          <w:spacing w:val="-3"/>
          <w:sz w:val="24"/>
        </w:rPr>
        <w:t xml:space="preserve">submit </w:t>
      </w:r>
      <w:r>
        <w:rPr>
          <w:sz w:val="24"/>
        </w:rPr>
        <w:t xml:space="preserve">resolution plan under section 29A of Insolvency and Bankruptcy Code, 2016 and the regulation 38 </w:t>
      </w:r>
      <w:r>
        <w:rPr>
          <w:spacing w:val="4"/>
          <w:sz w:val="24"/>
        </w:rPr>
        <w:t xml:space="preserve">of </w:t>
      </w:r>
      <w:r>
        <w:rPr>
          <w:sz w:val="24"/>
        </w:rPr>
        <w:t xml:space="preserve">IBBI (Insolvency Resolution Process of Corporate Persons) regulations, 2016 shall be engaged </w:t>
      </w:r>
      <w:r>
        <w:rPr>
          <w:spacing w:val="-3"/>
          <w:sz w:val="24"/>
        </w:rPr>
        <w:t xml:space="preserve">in </w:t>
      </w:r>
      <w:r>
        <w:rPr>
          <w:sz w:val="24"/>
        </w:rPr>
        <w:t>the management and control of corporate debtor.</w:t>
      </w:r>
    </w:p>
    <w:p w:rsidR="00533814" w:rsidRDefault="00533814" w:rsidP="00533814">
      <w:pPr>
        <w:pStyle w:val="ListParagraph"/>
        <w:tabs>
          <w:tab w:val="left" w:pos="481"/>
          <w:tab w:val="left" w:pos="5239"/>
        </w:tabs>
        <w:spacing w:line="360" w:lineRule="auto"/>
        <w:ind w:right="118" w:firstLine="0"/>
        <w:jc w:val="left"/>
        <w:rPr>
          <w:sz w:val="24"/>
        </w:rPr>
      </w:pPr>
    </w:p>
    <w:p w:rsidR="00FF7778" w:rsidRDefault="00D90771">
      <w:pPr>
        <w:pStyle w:val="ListParagraph"/>
        <w:numPr>
          <w:ilvl w:val="0"/>
          <w:numId w:val="2"/>
        </w:numPr>
        <w:tabs>
          <w:tab w:val="left" w:pos="481"/>
          <w:tab w:val="left" w:pos="7823"/>
        </w:tabs>
        <w:spacing w:line="274" w:lineRule="exact"/>
        <w:rPr>
          <w:sz w:val="24"/>
        </w:rPr>
      </w:pPr>
      <w:r>
        <w:rPr>
          <w:sz w:val="24"/>
        </w:rPr>
        <w:t xml:space="preserve">I   declare   and   undertake   that </w:t>
      </w:r>
      <w:r>
        <w:rPr>
          <w:spacing w:val="58"/>
          <w:sz w:val="24"/>
        </w:rPr>
        <w:t xml:space="preserve"> </w:t>
      </w:r>
      <w:r>
        <w:rPr>
          <w:spacing w:val="-3"/>
          <w:sz w:val="24"/>
        </w:rPr>
        <w:t xml:space="preserve">in  </w:t>
      </w:r>
      <w:r>
        <w:rPr>
          <w:spacing w:val="1"/>
          <w:sz w:val="24"/>
        </w:rPr>
        <w:t xml:space="preserve"> </w:t>
      </w:r>
      <w:r>
        <w:rPr>
          <w:sz w:val="24"/>
        </w:rPr>
        <w:t>case</w:t>
      </w:r>
      <w:r>
        <w:rPr>
          <w:sz w:val="24"/>
          <w:u w:val="single"/>
        </w:rPr>
        <w:t xml:space="preserve"> </w:t>
      </w:r>
      <w:r>
        <w:rPr>
          <w:sz w:val="24"/>
          <w:u w:val="single"/>
        </w:rPr>
        <w:tab/>
      </w:r>
      <w:r>
        <w:rPr>
          <w:sz w:val="24"/>
        </w:rPr>
        <w:t>becomes</w:t>
      </w:r>
    </w:p>
    <w:p w:rsidR="00FF7778" w:rsidRDefault="00FF7778">
      <w:pPr>
        <w:spacing w:line="274" w:lineRule="exact"/>
        <w:rPr>
          <w:sz w:val="24"/>
        </w:rPr>
        <w:sectPr w:rsidR="00FF7778">
          <w:pgSz w:w="11910" w:h="16840"/>
          <w:pgMar w:top="1340" w:right="1320" w:bottom="280" w:left="1680" w:header="720" w:footer="720" w:gutter="0"/>
          <w:cols w:space="720"/>
        </w:sectPr>
      </w:pPr>
    </w:p>
    <w:p w:rsidR="00FF7778" w:rsidRDefault="00D90771">
      <w:pPr>
        <w:pStyle w:val="BodyText"/>
        <w:spacing w:before="74" w:line="360" w:lineRule="auto"/>
        <w:ind w:left="480" w:right="121"/>
        <w:jc w:val="both"/>
      </w:pPr>
      <w:r>
        <w:lastRenderedPageBreak/>
        <w:t>ineligible at any stage during the Corporate Insolvency Resolution Process, it would inform the the Resolution Professional forthwith on becoming ineligible.</w:t>
      </w:r>
    </w:p>
    <w:p w:rsidR="00533814" w:rsidRDefault="00533814">
      <w:pPr>
        <w:pStyle w:val="BodyText"/>
        <w:spacing w:before="74" w:line="360" w:lineRule="auto"/>
        <w:ind w:left="480" w:right="121"/>
        <w:jc w:val="both"/>
      </w:pPr>
    </w:p>
    <w:p w:rsidR="00FF7778" w:rsidRDefault="00D90771">
      <w:pPr>
        <w:pStyle w:val="ListParagraph"/>
        <w:numPr>
          <w:ilvl w:val="0"/>
          <w:numId w:val="2"/>
        </w:numPr>
        <w:tabs>
          <w:tab w:val="left" w:pos="481"/>
          <w:tab w:val="left" w:pos="6623"/>
        </w:tabs>
        <w:spacing w:line="362" w:lineRule="auto"/>
        <w:ind w:left="480" w:right="126"/>
        <w:jc w:val="both"/>
        <w:rPr>
          <w:sz w:val="24"/>
        </w:rPr>
      </w:pPr>
      <w:r>
        <w:rPr>
          <w:sz w:val="24"/>
        </w:rPr>
        <w:t xml:space="preserve">I  </w:t>
      </w:r>
      <w:r>
        <w:rPr>
          <w:spacing w:val="-3"/>
          <w:sz w:val="24"/>
        </w:rPr>
        <w:t xml:space="preserve">also  </w:t>
      </w:r>
      <w:r>
        <w:rPr>
          <w:sz w:val="24"/>
        </w:rPr>
        <w:t>undertake  that</w:t>
      </w:r>
      <w:r>
        <w:rPr>
          <w:spacing w:val="-8"/>
          <w:sz w:val="24"/>
        </w:rPr>
        <w:t xml:space="preserve"> </w:t>
      </w:r>
      <w:r>
        <w:rPr>
          <w:spacing w:val="-3"/>
          <w:sz w:val="24"/>
        </w:rPr>
        <w:t>in</w:t>
      </w:r>
      <w:r>
        <w:rPr>
          <w:spacing w:val="35"/>
          <w:sz w:val="24"/>
        </w:rPr>
        <w:t xml:space="preserve"> </w:t>
      </w:r>
      <w:r>
        <w:rPr>
          <w:sz w:val="24"/>
        </w:rPr>
        <w:t>case</w:t>
      </w:r>
      <w:r>
        <w:rPr>
          <w:sz w:val="24"/>
          <w:u w:val="single"/>
        </w:rPr>
        <w:t xml:space="preserve"> </w:t>
      </w:r>
      <w:r>
        <w:rPr>
          <w:sz w:val="24"/>
          <w:u w:val="single"/>
        </w:rPr>
        <w:tab/>
      </w:r>
      <w:r>
        <w:rPr>
          <w:sz w:val="24"/>
        </w:rPr>
        <w:t xml:space="preserve">becomes ineligible at any time after submission of the EMD, then the EMD would </w:t>
      </w:r>
      <w:r>
        <w:rPr>
          <w:spacing w:val="-3"/>
          <w:sz w:val="24"/>
        </w:rPr>
        <w:t xml:space="preserve">be </w:t>
      </w:r>
      <w:r>
        <w:rPr>
          <w:sz w:val="24"/>
        </w:rPr>
        <w:t xml:space="preserve">forfeited and the same would be deposited </w:t>
      </w:r>
      <w:r>
        <w:rPr>
          <w:spacing w:val="-3"/>
          <w:sz w:val="24"/>
        </w:rPr>
        <w:t xml:space="preserve">in </w:t>
      </w:r>
      <w:r>
        <w:rPr>
          <w:sz w:val="24"/>
        </w:rPr>
        <w:t xml:space="preserve">the account of </w:t>
      </w:r>
      <w:r w:rsidR="00633AD4">
        <w:rPr>
          <w:sz w:val="24"/>
        </w:rPr>
        <w:t>Sixth Dimension Project Solutions</w:t>
      </w:r>
      <w:r>
        <w:rPr>
          <w:spacing w:val="1"/>
          <w:sz w:val="24"/>
        </w:rPr>
        <w:t xml:space="preserve"> </w:t>
      </w:r>
      <w:r>
        <w:rPr>
          <w:sz w:val="24"/>
        </w:rPr>
        <w:t>Limited.</w:t>
      </w:r>
    </w:p>
    <w:p w:rsidR="00533814" w:rsidRDefault="00533814" w:rsidP="00533814">
      <w:pPr>
        <w:pStyle w:val="ListParagraph"/>
        <w:tabs>
          <w:tab w:val="left" w:pos="481"/>
          <w:tab w:val="left" w:pos="6623"/>
        </w:tabs>
        <w:spacing w:line="362" w:lineRule="auto"/>
        <w:ind w:right="126" w:firstLine="0"/>
        <w:jc w:val="left"/>
        <w:rPr>
          <w:sz w:val="24"/>
        </w:rPr>
      </w:pPr>
    </w:p>
    <w:p w:rsidR="00FF7778" w:rsidRDefault="00D90771">
      <w:pPr>
        <w:pStyle w:val="ListParagraph"/>
        <w:numPr>
          <w:ilvl w:val="0"/>
          <w:numId w:val="2"/>
        </w:numPr>
        <w:tabs>
          <w:tab w:val="left" w:pos="539"/>
        </w:tabs>
        <w:spacing w:line="360" w:lineRule="auto"/>
        <w:ind w:left="480" w:right="121"/>
        <w:jc w:val="both"/>
        <w:rPr>
          <w:sz w:val="24"/>
        </w:rPr>
      </w:pPr>
      <w:r>
        <w:tab/>
      </w:r>
      <w:r>
        <w:rPr>
          <w:sz w:val="24"/>
        </w:rPr>
        <w:t xml:space="preserve">I </w:t>
      </w:r>
      <w:r>
        <w:rPr>
          <w:spacing w:val="-3"/>
          <w:sz w:val="24"/>
        </w:rPr>
        <w:t xml:space="preserve">also </w:t>
      </w:r>
      <w:r>
        <w:rPr>
          <w:sz w:val="24"/>
        </w:rPr>
        <w:t>further undertake that the offer and/or resolution plan will remain binding unless rejected by the COC and/or Resolution</w:t>
      </w:r>
      <w:r>
        <w:rPr>
          <w:spacing w:val="-1"/>
          <w:sz w:val="24"/>
        </w:rPr>
        <w:t xml:space="preserve"> </w:t>
      </w:r>
      <w:r>
        <w:rPr>
          <w:sz w:val="24"/>
        </w:rPr>
        <w:t>Plan.</w:t>
      </w:r>
    </w:p>
    <w:p w:rsidR="00533814" w:rsidRPr="00533814" w:rsidRDefault="00533814" w:rsidP="00533814">
      <w:pPr>
        <w:pStyle w:val="ListParagraph"/>
        <w:rPr>
          <w:sz w:val="24"/>
        </w:rPr>
      </w:pPr>
    </w:p>
    <w:p w:rsidR="00FF7778" w:rsidRDefault="00D90771">
      <w:pPr>
        <w:pStyle w:val="ListParagraph"/>
        <w:numPr>
          <w:ilvl w:val="0"/>
          <w:numId w:val="2"/>
        </w:numPr>
        <w:tabs>
          <w:tab w:val="left" w:pos="481"/>
        </w:tabs>
        <w:jc w:val="both"/>
        <w:rPr>
          <w:sz w:val="24"/>
        </w:rPr>
      </w:pPr>
      <w:r>
        <w:rPr>
          <w:sz w:val="24"/>
        </w:rPr>
        <w:t xml:space="preserve">I confirm that the </w:t>
      </w:r>
      <w:r>
        <w:rPr>
          <w:spacing w:val="-3"/>
          <w:sz w:val="24"/>
        </w:rPr>
        <w:t xml:space="preserve">said </w:t>
      </w:r>
      <w:r>
        <w:rPr>
          <w:sz w:val="24"/>
        </w:rPr>
        <w:t xml:space="preserve">declaration and disclosure </w:t>
      </w:r>
      <w:r>
        <w:rPr>
          <w:spacing w:val="-3"/>
          <w:sz w:val="24"/>
        </w:rPr>
        <w:t xml:space="preserve">is </w:t>
      </w:r>
      <w:r>
        <w:rPr>
          <w:sz w:val="24"/>
        </w:rPr>
        <w:t>true and</w:t>
      </w:r>
      <w:r>
        <w:rPr>
          <w:spacing w:val="10"/>
          <w:sz w:val="24"/>
        </w:rPr>
        <w:t xml:space="preserve"> </w:t>
      </w:r>
      <w:r>
        <w:rPr>
          <w:sz w:val="24"/>
        </w:rPr>
        <w:t>correct.</w:t>
      </w:r>
    </w:p>
    <w:p w:rsidR="00FF7778" w:rsidRDefault="00FF7778">
      <w:pPr>
        <w:pStyle w:val="BodyText"/>
        <w:spacing w:before="7"/>
        <w:rPr>
          <w:sz w:val="32"/>
        </w:rPr>
      </w:pPr>
    </w:p>
    <w:p w:rsidR="00FF7778" w:rsidRDefault="00D90771">
      <w:pPr>
        <w:pStyle w:val="Heading1"/>
        <w:ind w:left="0"/>
        <w:jc w:val="right"/>
      </w:pPr>
      <w:r>
        <w:rPr>
          <w:w w:val="95"/>
        </w:rPr>
        <w:t>(DEPONENT)</w:t>
      </w:r>
    </w:p>
    <w:p w:rsidR="00FF7778" w:rsidRDefault="00FF7778">
      <w:pPr>
        <w:pStyle w:val="BodyText"/>
        <w:spacing w:before="9"/>
        <w:rPr>
          <w:b/>
          <w:sz w:val="32"/>
        </w:rPr>
      </w:pPr>
    </w:p>
    <w:p w:rsidR="00FF7778" w:rsidRDefault="00D90771">
      <w:pPr>
        <w:ind w:left="2120" w:right="2124"/>
        <w:jc w:val="center"/>
        <w:rPr>
          <w:b/>
          <w:sz w:val="24"/>
        </w:rPr>
      </w:pPr>
      <w:r>
        <w:rPr>
          <w:b/>
          <w:sz w:val="24"/>
          <w:u w:val="thick"/>
        </w:rPr>
        <w:t>VERIFICATION</w:t>
      </w:r>
    </w:p>
    <w:p w:rsidR="00FF7778" w:rsidRDefault="00FF7778">
      <w:pPr>
        <w:pStyle w:val="BodyText"/>
        <w:spacing w:before="7"/>
        <w:rPr>
          <w:b/>
        </w:rPr>
      </w:pPr>
    </w:p>
    <w:p w:rsidR="00FF7778" w:rsidRDefault="00D90771">
      <w:pPr>
        <w:pStyle w:val="BodyText"/>
        <w:spacing w:before="90" w:line="360" w:lineRule="auto"/>
        <w:ind w:left="480" w:right="131" w:hanging="361"/>
        <w:jc w:val="both"/>
      </w:pPr>
      <w:r>
        <w:t>I, the deponent above, do hereby solemnly declare and affirm that the above statement given by me is true and correct to the best of my knowledge and belief and nothing stated above is false or misrepresentation or misleading.</w:t>
      </w:r>
    </w:p>
    <w:p w:rsidR="00FF7778" w:rsidRDefault="00FF7778">
      <w:pPr>
        <w:pStyle w:val="BodyText"/>
        <w:rPr>
          <w:sz w:val="26"/>
        </w:rPr>
      </w:pPr>
    </w:p>
    <w:p w:rsidR="00FF7778" w:rsidRDefault="00FF7778">
      <w:pPr>
        <w:pStyle w:val="BodyText"/>
        <w:rPr>
          <w:sz w:val="26"/>
        </w:rPr>
      </w:pPr>
    </w:p>
    <w:p w:rsidR="00FF7778" w:rsidRDefault="00FF7778">
      <w:pPr>
        <w:pStyle w:val="BodyText"/>
        <w:spacing w:before="2"/>
        <w:rPr>
          <w:sz w:val="26"/>
        </w:rPr>
      </w:pPr>
    </w:p>
    <w:p w:rsidR="00FF7778" w:rsidRDefault="00D90771">
      <w:pPr>
        <w:pStyle w:val="Heading1"/>
        <w:ind w:left="0"/>
        <w:jc w:val="right"/>
      </w:pPr>
      <w:r>
        <w:rPr>
          <w:w w:val="95"/>
        </w:rPr>
        <w:t>(DEPONENT)</w:t>
      </w:r>
    </w:p>
    <w:sectPr w:rsidR="00FF7778">
      <w:pgSz w:w="11910" w:h="16840"/>
      <w:pgMar w:top="1340" w:right="13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74225"/>
    <w:multiLevelType w:val="hybridMultilevel"/>
    <w:tmpl w:val="98DA76EC"/>
    <w:lvl w:ilvl="0" w:tplc="DA58F2E4">
      <w:start w:val="1"/>
      <w:numFmt w:val="upperLetter"/>
      <w:lvlText w:val="%1."/>
      <w:lvlJc w:val="left"/>
      <w:pPr>
        <w:ind w:left="481" w:hanging="361"/>
        <w:jc w:val="left"/>
      </w:pPr>
      <w:rPr>
        <w:rFonts w:ascii="Times New Roman" w:eastAsia="Times New Roman" w:hAnsi="Times New Roman" w:cs="Times New Roman" w:hint="default"/>
        <w:spacing w:val="-6"/>
        <w:w w:val="99"/>
        <w:sz w:val="24"/>
        <w:szCs w:val="24"/>
        <w:lang w:val="en-US" w:eastAsia="en-US" w:bidi="en-US"/>
      </w:rPr>
    </w:lvl>
    <w:lvl w:ilvl="1" w:tplc="D56C5094">
      <w:numFmt w:val="bullet"/>
      <w:lvlText w:val="•"/>
      <w:lvlJc w:val="left"/>
      <w:pPr>
        <w:ind w:left="1322" w:hanging="361"/>
      </w:pPr>
      <w:rPr>
        <w:rFonts w:hint="default"/>
        <w:lang w:val="en-US" w:eastAsia="en-US" w:bidi="en-US"/>
      </w:rPr>
    </w:lvl>
    <w:lvl w:ilvl="2" w:tplc="D6643630">
      <w:numFmt w:val="bullet"/>
      <w:lvlText w:val="•"/>
      <w:lvlJc w:val="left"/>
      <w:pPr>
        <w:ind w:left="2165" w:hanging="361"/>
      </w:pPr>
      <w:rPr>
        <w:rFonts w:hint="default"/>
        <w:lang w:val="en-US" w:eastAsia="en-US" w:bidi="en-US"/>
      </w:rPr>
    </w:lvl>
    <w:lvl w:ilvl="3" w:tplc="5D1EC93C">
      <w:numFmt w:val="bullet"/>
      <w:lvlText w:val="•"/>
      <w:lvlJc w:val="left"/>
      <w:pPr>
        <w:ind w:left="3008" w:hanging="361"/>
      </w:pPr>
      <w:rPr>
        <w:rFonts w:hint="default"/>
        <w:lang w:val="en-US" w:eastAsia="en-US" w:bidi="en-US"/>
      </w:rPr>
    </w:lvl>
    <w:lvl w:ilvl="4" w:tplc="C02263AA">
      <w:numFmt w:val="bullet"/>
      <w:lvlText w:val="•"/>
      <w:lvlJc w:val="left"/>
      <w:pPr>
        <w:ind w:left="3851" w:hanging="361"/>
      </w:pPr>
      <w:rPr>
        <w:rFonts w:hint="default"/>
        <w:lang w:val="en-US" w:eastAsia="en-US" w:bidi="en-US"/>
      </w:rPr>
    </w:lvl>
    <w:lvl w:ilvl="5" w:tplc="DDDCEF6E">
      <w:numFmt w:val="bullet"/>
      <w:lvlText w:val="•"/>
      <w:lvlJc w:val="left"/>
      <w:pPr>
        <w:ind w:left="4694" w:hanging="361"/>
      </w:pPr>
      <w:rPr>
        <w:rFonts w:hint="default"/>
        <w:lang w:val="en-US" w:eastAsia="en-US" w:bidi="en-US"/>
      </w:rPr>
    </w:lvl>
    <w:lvl w:ilvl="6" w:tplc="036ED124">
      <w:numFmt w:val="bullet"/>
      <w:lvlText w:val="•"/>
      <w:lvlJc w:val="left"/>
      <w:pPr>
        <w:ind w:left="5537" w:hanging="361"/>
      </w:pPr>
      <w:rPr>
        <w:rFonts w:hint="default"/>
        <w:lang w:val="en-US" w:eastAsia="en-US" w:bidi="en-US"/>
      </w:rPr>
    </w:lvl>
    <w:lvl w:ilvl="7" w:tplc="D19A9964">
      <w:numFmt w:val="bullet"/>
      <w:lvlText w:val="•"/>
      <w:lvlJc w:val="left"/>
      <w:pPr>
        <w:ind w:left="6380" w:hanging="361"/>
      </w:pPr>
      <w:rPr>
        <w:rFonts w:hint="default"/>
        <w:lang w:val="en-US" w:eastAsia="en-US" w:bidi="en-US"/>
      </w:rPr>
    </w:lvl>
    <w:lvl w:ilvl="8" w:tplc="245C657A">
      <w:numFmt w:val="bullet"/>
      <w:lvlText w:val="•"/>
      <w:lvlJc w:val="left"/>
      <w:pPr>
        <w:ind w:left="7223" w:hanging="361"/>
      </w:pPr>
      <w:rPr>
        <w:rFonts w:hint="default"/>
        <w:lang w:val="en-US" w:eastAsia="en-US" w:bidi="en-US"/>
      </w:rPr>
    </w:lvl>
  </w:abstractNum>
  <w:abstractNum w:abstractNumId="1" w15:restartNumberingAfterBreak="0">
    <w:nsid w:val="6BB96A2D"/>
    <w:multiLevelType w:val="hybridMultilevel"/>
    <w:tmpl w:val="F910958C"/>
    <w:lvl w:ilvl="0" w:tplc="B0D8EE8C">
      <w:start w:val="1"/>
      <w:numFmt w:val="lowerLetter"/>
      <w:lvlText w:val="%1)"/>
      <w:lvlJc w:val="left"/>
      <w:pPr>
        <w:ind w:left="370" w:hanging="250"/>
        <w:jc w:val="left"/>
      </w:pPr>
      <w:rPr>
        <w:rFonts w:ascii="Times New Roman" w:eastAsia="Times New Roman" w:hAnsi="Times New Roman" w:cs="Times New Roman" w:hint="default"/>
        <w:spacing w:val="-1"/>
        <w:w w:val="100"/>
        <w:sz w:val="24"/>
        <w:szCs w:val="24"/>
        <w:lang w:val="en-US" w:eastAsia="en-US" w:bidi="en-US"/>
      </w:rPr>
    </w:lvl>
    <w:lvl w:ilvl="1" w:tplc="F4E0D3B2">
      <w:start w:val="1"/>
      <w:numFmt w:val="lowerRoman"/>
      <w:lvlText w:val="(%2)"/>
      <w:lvlJc w:val="left"/>
      <w:pPr>
        <w:ind w:left="841" w:hanging="360"/>
        <w:jc w:val="left"/>
      </w:pPr>
      <w:rPr>
        <w:rFonts w:ascii="Times New Roman" w:eastAsia="Times New Roman" w:hAnsi="Times New Roman" w:cs="Times New Roman" w:hint="default"/>
        <w:spacing w:val="-10"/>
        <w:w w:val="99"/>
        <w:sz w:val="24"/>
        <w:szCs w:val="24"/>
        <w:lang w:val="en-US" w:eastAsia="en-US" w:bidi="en-US"/>
      </w:rPr>
    </w:lvl>
    <w:lvl w:ilvl="2" w:tplc="09AE9E46">
      <w:numFmt w:val="bullet"/>
      <w:lvlText w:val="•"/>
      <w:lvlJc w:val="left"/>
      <w:pPr>
        <w:ind w:left="1736" w:hanging="360"/>
      </w:pPr>
      <w:rPr>
        <w:rFonts w:hint="default"/>
        <w:lang w:val="en-US" w:eastAsia="en-US" w:bidi="en-US"/>
      </w:rPr>
    </w:lvl>
    <w:lvl w:ilvl="3" w:tplc="7BEA218C">
      <w:numFmt w:val="bullet"/>
      <w:lvlText w:val="•"/>
      <w:lvlJc w:val="left"/>
      <w:pPr>
        <w:ind w:left="2633" w:hanging="360"/>
      </w:pPr>
      <w:rPr>
        <w:rFonts w:hint="default"/>
        <w:lang w:val="en-US" w:eastAsia="en-US" w:bidi="en-US"/>
      </w:rPr>
    </w:lvl>
    <w:lvl w:ilvl="4" w:tplc="61DE073E">
      <w:numFmt w:val="bullet"/>
      <w:lvlText w:val="•"/>
      <w:lvlJc w:val="left"/>
      <w:pPr>
        <w:ind w:left="3529" w:hanging="360"/>
      </w:pPr>
      <w:rPr>
        <w:rFonts w:hint="default"/>
        <w:lang w:val="en-US" w:eastAsia="en-US" w:bidi="en-US"/>
      </w:rPr>
    </w:lvl>
    <w:lvl w:ilvl="5" w:tplc="36B88E88">
      <w:numFmt w:val="bullet"/>
      <w:lvlText w:val="•"/>
      <w:lvlJc w:val="left"/>
      <w:pPr>
        <w:ind w:left="4426" w:hanging="360"/>
      </w:pPr>
      <w:rPr>
        <w:rFonts w:hint="default"/>
        <w:lang w:val="en-US" w:eastAsia="en-US" w:bidi="en-US"/>
      </w:rPr>
    </w:lvl>
    <w:lvl w:ilvl="6" w:tplc="845C269A">
      <w:numFmt w:val="bullet"/>
      <w:lvlText w:val="•"/>
      <w:lvlJc w:val="left"/>
      <w:pPr>
        <w:ind w:left="5322" w:hanging="360"/>
      </w:pPr>
      <w:rPr>
        <w:rFonts w:hint="default"/>
        <w:lang w:val="en-US" w:eastAsia="en-US" w:bidi="en-US"/>
      </w:rPr>
    </w:lvl>
    <w:lvl w:ilvl="7" w:tplc="30E413CA">
      <w:numFmt w:val="bullet"/>
      <w:lvlText w:val="•"/>
      <w:lvlJc w:val="left"/>
      <w:pPr>
        <w:ind w:left="6219" w:hanging="360"/>
      </w:pPr>
      <w:rPr>
        <w:rFonts w:hint="default"/>
        <w:lang w:val="en-US" w:eastAsia="en-US" w:bidi="en-US"/>
      </w:rPr>
    </w:lvl>
    <w:lvl w:ilvl="8" w:tplc="AAE0D95E">
      <w:numFmt w:val="bullet"/>
      <w:lvlText w:val="•"/>
      <w:lvlJc w:val="left"/>
      <w:pPr>
        <w:ind w:left="7115"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F7778"/>
    <w:rsid w:val="00533814"/>
    <w:rsid w:val="00633AD4"/>
    <w:rsid w:val="00D90771"/>
    <w:rsid w:val="00FF77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B3F7"/>
  <w15:docId w15:val="{11AA7B5A-7185-47FC-AA72-5230F264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480" w:right="1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128</dc:creator>
  <cp:lastModifiedBy>Santanu T Ray</cp:lastModifiedBy>
  <cp:revision>5</cp:revision>
  <cp:lastPrinted>2019-05-20T08:42:00Z</cp:lastPrinted>
  <dcterms:created xsi:type="dcterms:W3CDTF">2019-05-20T08:39:00Z</dcterms:created>
  <dcterms:modified xsi:type="dcterms:W3CDTF">2019-10-10T09:27:00Z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Word 2010</vt:lpwstr>
  </property>
  <property fmtid="{D5CDD505-2E9C-101B-9397-08002B2CF9AE}" pid="4" name="LastSaved">
    <vt:filetime>2019-05-20T00:00:00Z</vt:filetime>
  </property>
</Properties>
</file>